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12A5" w14:textId="77777777" w:rsidR="008654A0" w:rsidRPr="008654A0" w:rsidRDefault="008654A0" w:rsidP="008654A0">
      <w:pPr>
        <w:keepNext/>
        <w:keepLines/>
        <w:spacing w:before="320" w:after="80" w:line="240" w:lineRule="auto"/>
        <w:jc w:val="center"/>
        <w:outlineLvl w:val="0"/>
        <w:rPr>
          <w:rFonts w:ascii="Calibri Light" w:eastAsia="Times New Roman" w:hAnsi="Calibri Light"/>
          <w:color w:val="2F5496"/>
          <w:kern w:val="0"/>
          <w:sz w:val="40"/>
          <w:szCs w:val="40"/>
          <w14:ligatures w14:val="none"/>
        </w:rPr>
      </w:pPr>
      <w:r w:rsidRPr="008654A0">
        <w:rPr>
          <w:rFonts w:ascii="Calibri Light" w:eastAsia="Times New Roman" w:hAnsi="Calibri Light"/>
          <w:color w:val="2F5496"/>
          <w:kern w:val="0"/>
          <w:sz w:val="40"/>
          <w:szCs w:val="40"/>
          <w14:ligatures w14:val="none"/>
        </w:rPr>
        <w:t xml:space="preserve">Project Narrative </w:t>
      </w:r>
    </w:p>
    <w:p w14:paraId="48052606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Limit to 3 pages. See the Notice of Funding Opportunity and Instructions for detailed information on requested Project Narrative. </w:t>
      </w:r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PROJECT NARRATIVE </w:t>
      </w:r>
    </w:p>
    <w:p w14:paraId="0890851B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A. Target Population and Service Area: </w:t>
      </w:r>
    </w:p>
    <w:p w14:paraId="2B4F16E1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ind w:left="27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service area for SNCIL is in Clark County Nevada. This includes the metropolitan and rural areas. Clark County has a shortage of housing financial assistance to assist individuals with disabilities with a demonstrated need who are: </w:t>
      </w:r>
      <w:proofErr w:type="gramStart"/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1.homeless</w:t>
      </w:r>
      <w:proofErr w:type="gramEnd"/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 2. at risk of becoming homeless, 3. at risk of becoming institutionalized, 4. already institutionalized to transition to permanent community living and/or 5. need financial assistance to stay in place for those already in a permanent home. </w:t>
      </w:r>
    </w:p>
    <w:p w14:paraId="142D86D0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B. Proposed Intervention: </w:t>
      </w:r>
    </w:p>
    <w:p w14:paraId="3199A192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Proposed Intervention </w:t>
      </w:r>
    </w:p>
    <w:p w14:paraId="6DD826DE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Southern Nevada Center for Independent Living (SNCIL) will provide a housing needs assessment for individuals with disabilities requesting housing financial aid. Those that qualify will be </w:t>
      </w:r>
      <w:proofErr w:type="gramStart"/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provided</w:t>
      </w:r>
      <w:proofErr w:type="gramEnd"/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funds for unit applications, key deposits, first </w:t>
      </w:r>
      <w:proofErr w:type="spellStart"/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months</w:t>
      </w:r>
      <w:proofErr w:type="spellEnd"/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rent, home set up costs, move-in costs, and personal needs assistance. Financial aid will also be provided to help individuals staying in place who already have a home but need one-time assistance to remain in the home. Individuals qualifying must have the funds to continue to stay in place. </w:t>
      </w:r>
    </w:p>
    <w:p w14:paraId="185801C5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Proposed Intervention: </w:t>
      </w:r>
    </w:p>
    <w:p w14:paraId="0348A46F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assist individuals who are homeless, at risk, or institutionalized to transition to community living.</w:t>
      </w:r>
    </w:p>
    <w:p w14:paraId="14D8DCD7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E9CE585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441DFFC0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4DE939D2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75C1BAA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39DEB39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C55D8D4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46BFEE0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4E1DCA9D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67F2D0CF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694184FD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197DE6A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A3C4FB1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46CA0235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4EC37AFA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C51ACDA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Nevada Aging and Disability Services Division (ADSD) </w:t>
      </w:r>
    </w:p>
    <w:p w14:paraId="2460ED7B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Competitive Subaward Application </w:t>
      </w:r>
    </w:p>
    <w:p w14:paraId="358349B2" w14:textId="77777777" w:rsidR="008654A0" w:rsidRPr="008654A0" w:rsidRDefault="008654A0" w:rsidP="008654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65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Fiscal Year 2024</w:t>
      </w:r>
    </w:p>
    <w:tbl>
      <w:tblPr>
        <w:tblW w:w="1023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1"/>
        <w:gridCol w:w="3411"/>
        <w:gridCol w:w="3411"/>
      </w:tblGrid>
      <w:tr w:rsidR="008654A0" w:rsidRPr="008654A0" w14:paraId="74C84FC1" w14:textId="77777777" w:rsidTr="00120FBC">
        <w:trPr>
          <w:trHeight w:val="131"/>
        </w:trPr>
        <w:tc>
          <w:tcPr>
            <w:tcW w:w="34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AF0C7B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GOALS AND OBJECTIVES </w:t>
            </w:r>
            <w:r w:rsidRPr="008654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Objective </w:t>
            </w:r>
          </w:p>
        </w:tc>
        <w:tc>
          <w:tcPr>
            <w:tcW w:w="3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E83DB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Activities </w:t>
            </w:r>
          </w:p>
        </w:tc>
        <w:tc>
          <w:tcPr>
            <w:tcW w:w="34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9532BE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Outcomes </w:t>
            </w:r>
          </w:p>
        </w:tc>
      </w:tr>
      <w:tr w:rsidR="008654A0" w:rsidRPr="008654A0" w14:paraId="68A904D7" w14:textId="77777777" w:rsidTr="00120FBC">
        <w:trPr>
          <w:trHeight w:val="600"/>
        </w:trPr>
        <w:tc>
          <w:tcPr>
            <w:tcW w:w="34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A889D0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 assist a minimum of nine individuals who are:</w:t>
            </w:r>
          </w:p>
          <w:p w14:paraId="33BBBD37" w14:textId="77777777" w:rsidR="008654A0" w:rsidRPr="008654A0" w:rsidRDefault="008654A0" w:rsidP="008654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homeless, </w:t>
            </w:r>
          </w:p>
          <w:p w14:paraId="4456B9DA" w14:textId="77777777" w:rsidR="008654A0" w:rsidRPr="008654A0" w:rsidRDefault="008654A0" w:rsidP="008654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at risk, </w:t>
            </w:r>
          </w:p>
          <w:p w14:paraId="4E24B5FD" w14:textId="77777777" w:rsidR="008654A0" w:rsidRPr="008654A0" w:rsidRDefault="008654A0" w:rsidP="008654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institutionalized,</w:t>
            </w:r>
          </w:p>
          <w:p w14:paraId="716683EC" w14:textId="77777777" w:rsidR="008654A0" w:rsidRPr="008654A0" w:rsidRDefault="008654A0" w:rsidP="008654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need assistance staying place to continue to live independently,</w:t>
            </w:r>
          </w:p>
          <w:p w14:paraId="04DFECD9" w14:textId="77777777" w:rsidR="008654A0" w:rsidRPr="008654A0" w:rsidRDefault="008654A0" w:rsidP="008654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or to transition to community living with financial assistance to meet community living goals.</w:t>
            </w:r>
          </w:p>
          <w:p w14:paraId="1D8DFAE7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ADF40FD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D1848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Identify and screen candidates meeting the eligibility criteria for housing assistance with:</w:t>
            </w:r>
          </w:p>
          <w:p w14:paraId="04294B11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F317489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first month’s rent,</w:t>
            </w:r>
          </w:p>
          <w:p w14:paraId="67508FCC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rent deposits,</w:t>
            </w:r>
          </w:p>
          <w:p w14:paraId="18A971C2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key deposits,</w:t>
            </w:r>
          </w:p>
          <w:p w14:paraId="377DE17D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move-in costs, </w:t>
            </w:r>
          </w:p>
          <w:p w14:paraId="73405338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home setup costs, </w:t>
            </w:r>
          </w:p>
          <w:p w14:paraId="05C5913F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personal goods, and</w:t>
            </w:r>
          </w:p>
          <w:p w14:paraId="0761C1C8" w14:textId="77777777" w:rsidR="008654A0" w:rsidRPr="008654A0" w:rsidRDefault="008654A0" w:rsidP="0086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stay in place costs </w:t>
            </w:r>
          </w:p>
          <w:p w14:paraId="4C53C95B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          for individuals who </w:t>
            </w:r>
          </w:p>
          <w:p w14:paraId="45608EA3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          already have a home.</w:t>
            </w:r>
          </w:p>
          <w:p w14:paraId="244CD03E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1DDA9E0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Candidate must have the funds to continue to stay in place. </w:t>
            </w:r>
          </w:p>
          <w:p w14:paraId="1FCAB791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F0EA33" w14:textId="77777777" w:rsidR="008654A0" w:rsidRPr="008654A0" w:rsidRDefault="008654A0" w:rsidP="008654A0">
            <w:pPr>
              <w:spacing w:after="160" w:line="300" w:lineRule="auto"/>
              <w:ind w:left="72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3B558D08" w14:textId="77777777" w:rsidR="008654A0" w:rsidRPr="008654A0" w:rsidRDefault="008654A0" w:rsidP="008654A0">
            <w:pPr>
              <w:spacing w:after="160" w:line="300" w:lineRule="auto"/>
              <w:ind w:left="72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5C1031F6" w14:textId="77777777" w:rsidR="008654A0" w:rsidRPr="008654A0" w:rsidRDefault="008654A0" w:rsidP="008654A0">
            <w:pPr>
              <w:spacing w:after="160" w:line="30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7459A433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DFD1FB4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B61AE0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F31DF15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48356C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Conduct a minimum of nine housing financial assessments to identify individuals with disabilities for a demonstrated need for financial assistance. </w:t>
            </w:r>
          </w:p>
          <w:p w14:paraId="68362F66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1C53A9E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654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 minimum of nine individuals with disabilities will be transitioned to a permanent independent living community situation or staying in place with one-time SNCIL financial assistance.</w:t>
            </w:r>
          </w:p>
          <w:p w14:paraId="06667BB8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A4FDCA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654A0" w:rsidRPr="008654A0" w14:paraId="1E6F52CA" w14:textId="77777777" w:rsidTr="00120FBC">
        <w:trPr>
          <w:trHeight w:val="1768"/>
        </w:trPr>
        <w:tc>
          <w:tcPr>
            <w:tcW w:w="34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2B8E3A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C0843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D5A6DE" w14:textId="77777777" w:rsidR="008654A0" w:rsidRPr="008654A0" w:rsidRDefault="008654A0" w:rsidP="008654A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FC7D571" w14:textId="77777777" w:rsidR="008654A0" w:rsidRPr="008654A0" w:rsidRDefault="008654A0" w:rsidP="008654A0">
      <w:pPr>
        <w:spacing w:after="160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7DCFB0B" w14:textId="77777777" w:rsidR="004C1598" w:rsidRDefault="004C1598"/>
    <w:sectPr w:rsidR="004C1598" w:rsidSect="008654A0">
      <w:footerReference w:type="default" r:id="rId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2386" w14:textId="77777777" w:rsidR="008654A0" w:rsidRDefault="008654A0" w:rsidP="001767BA">
    <w:pPr>
      <w:pStyle w:val="Footer"/>
    </w:pPr>
    <w:r>
      <w:t xml:space="preserve">ADSD </w:t>
    </w:r>
    <w:r>
      <w:t>Subaward Short Form</w:t>
    </w:r>
    <w:r>
      <w:t xml:space="preserve"> Application</w:t>
    </w:r>
    <w:r>
      <w:t xml:space="preserve"> </w:t>
    </w:r>
    <w:r>
      <w:t>|</w:t>
    </w:r>
    <w:r>
      <w:t xml:space="preserve"> </w:t>
    </w:r>
    <w:r>
      <w:t>Updated</w:t>
    </w:r>
    <w:r>
      <w:t xml:space="preserve">: </w:t>
    </w:r>
    <w:r>
      <w:t>06/</w:t>
    </w:r>
    <w:r>
      <w:t>2023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530"/>
    <w:multiLevelType w:val="hybridMultilevel"/>
    <w:tmpl w:val="4484D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EB7E98"/>
    <w:multiLevelType w:val="hybridMultilevel"/>
    <w:tmpl w:val="D14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68411">
    <w:abstractNumId w:val="1"/>
  </w:num>
  <w:num w:numId="2" w16cid:durableId="4568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A0"/>
    <w:rsid w:val="000D798B"/>
    <w:rsid w:val="004C1598"/>
    <w:rsid w:val="008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2BBC"/>
  <w15:chartTrackingRefBased/>
  <w15:docId w15:val="{9CB170F5-C619-43A6-996A-ED73930B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4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4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4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4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4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4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4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4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4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4A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4A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4A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4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4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4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4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4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4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4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4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4A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4A0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54A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654A0"/>
    <w:rPr>
      <w:rFonts w:ascii="Arial" w:eastAsia="Times New Roman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2024-04-07T00:25:00Z</dcterms:created>
  <dcterms:modified xsi:type="dcterms:W3CDTF">2024-04-07T00:25:00Z</dcterms:modified>
</cp:coreProperties>
</file>