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A8B8" w14:textId="68A80426" w:rsidR="008314C2" w:rsidRDefault="00227BDD" w:rsidP="00227BDD">
      <w:pPr>
        <w:pStyle w:val="Title"/>
      </w:pPr>
      <w:r>
        <w:t xml:space="preserve">Rural Center for Independent Living </w:t>
      </w:r>
    </w:p>
    <w:p w14:paraId="66DB9229" w14:textId="2987DE3B" w:rsidR="00227BDD" w:rsidRDefault="00227BDD" w:rsidP="00227BDD">
      <w:pPr>
        <w:pStyle w:val="Subtitle"/>
      </w:pPr>
      <w:r>
        <w:t xml:space="preserve">725 Compliance – Center for Independent Living </w:t>
      </w:r>
    </w:p>
    <w:p w14:paraId="366A6EC2" w14:textId="77777777" w:rsidR="00227BDD" w:rsidRDefault="00227BDD"/>
    <w:p w14:paraId="104D58AC" w14:textId="35E0BE03" w:rsidR="00227BDD" w:rsidRDefault="00227BDD">
      <w:r>
        <w:t xml:space="preserve">On February 13, </w:t>
      </w:r>
      <w:r w:rsidR="00312558">
        <w:t>2024,</w:t>
      </w:r>
      <w:r>
        <w:t xml:space="preserve"> the Nevada Aging and Disability Services Division (ADSD) conducted an onsite review of the Rural Center for Independent Living (RCIL) per the State Independent Living Council’s request to determine compliance with section 725 of the Rehabilitation Act.  This was a follow-up to an initial visit conducted by SILC Executive Director, Dawn Lyons in November 2022.   </w:t>
      </w:r>
    </w:p>
    <w:p w14:paraId="00F452A8" w14:textId="4070F341" w:rsidR="00227BDD" w:rsidRDefault="00227BDD">
      <w:r>
        <w:t xml:space="preserve">The following is a summary of the findings of these two visits combined.  </w:t>
      </w:r>
    </w:p>
    <w:p w14:paraId="17FB90ED" w14:textId="3A136ECA" w:rsidR="00227BDD" w:rsidRDefault="00227BDD" w:rsidP="00227BDD">
      <w:pPr>
        <w:pStyle w:val="Heading1"/>
      </w:pPr>
      <w:r>
        <w:t>Direct Service Summary</w:t>
      </w:r>
    </w:p>
    <w:p w14:paraId="659A08D0" w14:textId="5D9D9410" w:rsidR="00227BDD" w:rsidRDefault="00227BDD" w:rsidP="00227BDD">
      <w:r>
        <w:t xml:space="preserve">The RCIL provided evidence of </w:t>
      </w:r>
      <w:r w:rsidR="00623CE5">
        <w:t>information and referral, IL skills training, peer support, individual and systems advocacy, and youth transition services</w:t>
      </w:r>
      <w:r>
        <w:t xml:space="preserve">.  </w:t>
      </w:r>
      <w:r w:rsidR="00623CE5">
        <w:t xml:space="preserve">The RCIL provides services on a one-on-one basis, but also hosts a weekly social event known as the “WRECK” club.   </w:t>
      </w:r>
    </w:p>
    <w:p w14:paraId="733C6406" w14:textId="021DFE86" w:rsidR="00623CE5" w:rsidRDefault="00623CE5" w:rsidP="00227BDD">
      <w:r>
        <w:t xml:space="preserve">In FFY2022 the RCIL served 60 individuals and provided transition services to 8 youth.  The WRECK club meets monthly and typical attendance is approximately 10 individuals.  </w:t>
      </w:r>
      <w:r w:rsidR="00AD6C86">
        <w:t>This level of service has been maintained throughout FFY20</w:t>
      </w:r>
      <w:r w:rsidR="00BA3C0A">
        <w:t xml:space="preserve">23. </w:t>
      </w:r>
    </w:p>
    <w:p w14:paraId="727A110F" w14:textId="537D4ABC" w:rsidR="00623CE5" w:rsidRDefault="00623CE5" w:rsidP="00227BDD">
      <w:r>
        <w:t xml:space="preserve">The WRECK club serves a dual purpose of social activities as well as independent living training and peer support.  Each meeting hosted includes training on topics such as individual rights under the ADA, healthcare access, or other resource information.  The discussion is facilitated in a manner that allows individuals to support each other and share their experiences to help others in the group facing similar challenges.   The information gleaned from these meetings is also used by the organization to inform their system advocacy priorities each year.   </w:t>
      </w:r>
    </w:p>
    <w:p w14:paraId="511C83C9" w14:textId="1D3DF340" w:rsidR="00623CE5" w:rsidRDefault="00623CE5" w:rsidP="00227BDD">
      <w:proofErr w:type="gramStart"/>
      <w:r>
        <w:t>The RCIL</w:t>
      </w:r>
      <w:proofErr w:type="gramEnd"/>
      <w:r>
        <w:t xml:space="preserve"> recently transitioned to the </w:t>
      </w:r>
      <w:r w:rsidR="00430A65">
        <w:t>C-CIL</w:t>
      </w:r>
      <w:r>
        <w:t xml:space="preserve"> Suite, to manage their case files and data.  While this transition is still underway, it will provide a clear path to data and reporting compliance.  </w:t>
      </w:r>
    </w:p>
    <w:p w14:paraId="256FF2AE" w14:textId="78A70856" w:rsidR="00BA3C0A" w:rsidRDefault="00BA3C0A" w:rsidP="00BA3C0A">
      <w:pPr>
        <w:pStyle w:val="Heading2"/>
      </w:pPr>
      <w:r>
        <w:t>Demographic Summary</w:t>
      </w:r>
    </w:p>
    <w:p w14:paraId="6F464C8E" w14:textId="7E0E0862" w:rsidR="00BA3C0A" w:rsidRDefault="001C63CB" w:rsidP="00BA3C0A">
      <w:r>
        <w:t xml:space="preserve">The following demographic summary was collected for FFY2022 in the initial site visit.  </w:t>
      </w:r>
    </w:p>
    <w:p w14:paraId="5D2C0B10" w14:textId="000ACFA9" w:rsidR="001C63CB" w:rsidRDefault="008711EA" w:rsidP="00613D05">
      <w:pPr>
        <w:pStyle w:val="ListParagraph"/>
        <w:numPr>
          <w:ilvl w:val="0"/>
          <w:numId w:val="1"/>
        </w:numPr>
      </w:pPr>
      <w:r>
        <w:t xml:space="preserve">Gender: </w:t>
      </w:r>
    </w:p>
    <w:p w14:paraId="22A9A28E" w14:textId="77777777" w:rsidR="00613D05" w:rsidRDefault="008711EA" w:rsidP="00613D05">
      <w:pPr>
        <w:pStyle w:val="ListParagraph"/>
        <w:numPr>
          <w:ilvl w:val="1"/>
          <w:numId w:val="1"/>
        </w:numPr>
      </w:pPr>
      <w:r>
        <w:t>Male</w:t>
      </w:r>
      <w:r w:rsidR="009C2BE2">
        <w:t xml:space="preserve">: </w:t>
      </w:r>
      <w:r w:rsidR="00613D05">
        <w:t>32</w:t>
      </w:r>
    </w:p>
    <w:p w14:paraId="50EA64C8" w14:textId="288B1AF2" w:rsidR="008711EA" w:rsidRDefault="008711EA" w:rsidP="00613D05">
      <w:pPr>
        <w:pStyle w:val="ListParagraph"/>
        <w:numPr>
          <w:ilvl w:val="1"/>
          <w:numId w:val="1"/>
        </w:numPr>
      </w:pPr>
      <w:r>
        <w:t>Female</w:t>
      </w:r>
      <w:r w:rsidR="00613D05">
        <w:t>: 28</w:t>
      </w:r>
    </w:p>
    <w:p w14:paraId="7AD0AFA4" w14:textId="5AA5191A" w:rsidR="008711EA" w:rsidRDefault="008711EA" w:rsidP="00613D05">
      <w:pPr>
        <w:pStyle w:val="ListParagraph"/>
        <w:numPr>
          <w:ilvl w:val="0"/>
          <w:numId w:val="1"/>
        </w:numPr>
      </w:pPr>
      <w:r>
        <w:t xml:space="preserve">Age: </w:t>
      </w:r>
    </w:p>
    <w:p w14:paraId="65A72F2D" w14:textId="112B1653" w:rsidR="009C2BE2" w:rsidRDefault="009C2BE2" w:rsidP="00613D05">
      <w:pPr>
        <w:pStyle w:val="ListParagraph"/>
        <w:numPr>
          <w:ilvl w:val="1"/>
          <w:numId w:val="1"/>
        </w:numPr>
      </w:pPr>
      <w:r>
        <w:t>18-22: 0</w:t>
      </w:r>
    </w:p>
    <w:p w14:paraId="6373C4AF" w14:textId="402FB265" w:rsidR="009C2BE2" w:rsidRDefault="009C2BE2" w:rsidP="00613D05">
      <w:pPr>
        <w:pStyle w:val="ListParagraph"/>
        <w:numPr>
          <w:ilvl w:val="1"/>
          <w:numId w:val="1"/>
        </w:numPr>
      </w:pPr>
      <w:r>
        <w:t>23-54: 34</w:t>
      </w:r>
    </w:p>
    <w:p w14:paraId="05348538" w14:textId="5A42A439" w:rsidR="009C2BE2" w:rsidRDefault="009C2BE2" w:rsidP="00613D05">
      <w:pPr>
        <w:pStyle w:val="ListParagraph"/>
        <w:numPr>
          <w:ilvl w:val="1"/>
          <w:numId w:val="1"/>
        </w:numPr>
      </w:pPr>
      <w:r>
        <w:t xml:space="preserve">55 and over: 26 </w:t>
      </w:r>
    </w:p>
    <w:p w14:paraId="5D1CF274" w14:textId="66822C5B" w:rsidR="00613D05" w:rsidRDefault="00613D05" w:rsidP="00613D05">
      <w:pPr>
        <w:pStyle w:val="ListParagraph"/>
        <w:numPr>
          <w:ilvl w:val="0"/>
          <w:numId w:val="1"/>
        </w:numPr>
      </w:pPr>
      <w:r>
        <w:t xml:space="preserve">Ethnicity: </w:t>
      </w:r>
    </w:p>
    <w:p w14:paraId="50453A6E" w14:textId="13042EE4" w:rsidR="00613D05" w:rsidRDefault="00613D05" w:rsidP="00613D05">
      <w:pPr>
        <w:pStyle w:val="ListParagraph"/>
        <w:numPr>
          <w:ilvl w:val="1"/>
          <w:numId w:val="1"/>
        </w:numPr>
      </w:pPr>
      <w:r>
        <w:t>Caucasian: 48</w:t>
      </w:r>
    </w:p>
    <w:p w14:paraId="48ACEAD9" w14:textId="4D84B580" w:rsidR="00613D05" w:rsidRDefault="00AE07C3" w:rsidP="00613D05">
      <w:pPr>
        <w:pStyle w:val="ListParagraph"/>
        <w:numPr>
          <w:ilvl w:val="1"/>
          <w:numId w:val="1"/>
        </w:numPr>
      </w:pPr>
      <w:r>
        <w:t>Hispanic: 2</w:t>
      </w:r>
    </w:p>
    <w:p w14:paraId="1C3AF830" w14:textId="75F2032A" w:rsidR="00AE07C3" w:rsidRDefault="00AE07C3" w:rsidP="00613D05">
      <w:pPr>
        <w:pStyle w:val="ListParagraph"/>
        <w:numPr>
          <w:ilvl w:val="1"/>
          <w:numId w:val="1"/>
        </w:numPr>
      </w:pPr>
      <w:r>
        <w:lastRenderedPageBreak/>
        <w:t>Native American: 2</w:t>
      </w:r>
    </w:p>
    <w:p w14:paraId="5072F227" w14:textId="1150FB55" w:rsidR="00AE07C3" w:rsidRDefault="00AE07C3" w:rsidP="00613D05">
      <w:pPr>
        <w:pStyle w:val="ListParagraph"/>
        <w:numPr>
          <w:ilvl w:val="1"/>
          <w:numId w:val="1"/>
        </w:numPr>
      </w:pPr>
      <w:r>
        <w:t>African American: 1</w:t>
      </w:r>
    </w:p>
    <w:p w14:paraId="60665D08" w14:textId="35D0DC9C" w:rsidR="00AE07C3" w:rsidRDefault="00AE07C3" w:rsidP="00613D05">
      <w:pPr>
        <w:pStyle w:val="ListParagraph"/>
        <w:numPr>
          <w:ilvl w:val="1"/>
          <w:numId w:val="1"/>
        </w:numPr>
      </w:pPr>
      <w:r>
        <w:t xml:space="preserve">Multi-Cultural: 7 </w:t>
      </w:r>
    </w:p>
    <w:p w14:paraId="6DAD7403" w14:textId="6FB6922D" w:rsidR="00AE07C3" w:rsidRDefault="009036B9" w:rsidP="00AE07C3">
      <w:pPr>
        <w:pStyle w:val="ListParagraph"/>
        <w:numPr>
          <w:ilvl w:val="0"/>
          <w:numId w:val="1"/>
        </w:numPr>
      </w:pPr>
      <w:r>
        <w:t>Disability Type</w:t>
      </w:r>
    </w:p>
    <w:p w14:paraId="4CE4038F" w14:textId="5132D586" w:rsidR="009036B9" w:rsidRDefault="009036B9" w:rsidP="009036B9">
      <w:pPr>
        <w:pStyle w:val="ListParagraph"/>
        <w:numPr>
          <w:ilvl w:val="1"/>
          <w:numId w:val="1"/>
        </w:numPr>
      </w:pPr>
      <w:r>
        <w:t>Physical Disability: 19</w:t>
      </w:r>
    </w:p>
    <w:p w14:paraId="0C9572FE" w14:textId="5D71FED0" w:rsidR="009036B9" w:rsidRDefault="009036B9" w:rsidP="009036B9">
      <w:pPr>
        <w:pStyle w:val="ListParagraph"/>
        <w:numPr>
          <w:ilvl w:val="1"/>
          <w:numId w:val="1"/>
        </w:numPr>
      </w:pPr>
      <w:r>
        <w:t>Cognitive Disability: 1</w:t>
      </w:r>
    </w:p>
    <w:p w14:paraId="0D570F27" w14:textId="215E1D07" w:rsidR="009036B9" w:rsidRDefault="009036B9" w:rsidP="009036B9">
      <w:pPr>
        <w:pStyle w:val="ListParagraph"/>
        <w:numPr>
          <w:ilvl w:val="1"/>
          <w:numId w:val="1"/>
        </w:numPr>
      </w:pPr>
      <w:r>
        <w:t xml:space="preserve">Behavior/Mental Illness: </w:t>
      </w:r>
      <w:r w:rsidR="00ED5CB4">
        <w:t>8</w:t>
      </w:r>
    </w:p>
    <w:p w14:paraId="4E666D9F" w14:textId="1FA4B452" w:rsidR="00ED5CB4" w:rsidRDefault="00ED5CB4" w:rsidP="009036B9">
      <w:pPr>
        <w:pStyle w:val="ListParagraph"/>
        <w:numPr>
          <w:ilvl w:val="1"/>
          <w:numId w:val="1"/>
        </w:numPr>
      </w:pPr>
      <w:r>
        <w:t>Vision Loss/Blind: 0</w:t>
      </w:r>
    </w:p>
    <w:p w14:paraId="3DED5DFD" w14:textId="4B7AEF78" w:rsidR="00ED5CB4" w:rsidRDefault="00ED5CB4" w:rsidP="009036B9">
      <w:pPr>
        <w:pStyle w:val="ListParagraph"/>
        <w:numPr>
          <w:ilvl w:val="1"/>
          <w:numId w:val="1"/>
        </w:numPr>
      </w:pPr>
      <w:r>
        <w:t>Hearing Loss/Deaf: 1</w:t>
      </w:r>
    </w:p>
    <w:p w14:paraId="68DC7D9E" w14:textId="6A887221" w:rsidR="00ED5CB4" w:rsidRPr="00BA3C0A" w:rsidRDefault="00ED5CB4" w:rsidP="009036B9">
      <w:pPr>
        <w:pStyle w:val="ListParagraph"/>
        <w:numPr>
          <w:ilvl w:val="1"/>
          <w:numId w:val="1"/>
        </w:numPr>
      </w:pPr>
      <w:r>
        <w:t xml:space="preserve">Multiple Disabilities: </w:t>
      </w:r>
      <w:r w:rsidR="00B71DB0">
        <w:t>37</w:t>
      </w:r>
    </w:p>
    <w:p w14:paraId="52DE5863" w14:textId="71C1260E" w:rsidR="00623CE5" w:rsidRDefault="00B71DB0" w:rsidP="00B71DB0">
      <w:pPr>
        <w:pStyle w:val="Heading1"/>
      </w:pPr>
      <w:r>
        <w:t xml:space="preserve">725 Compliance Summary </w:t>
      </w:r>
    </w:p>
    <w:p w14:paraId="4716E00C" w14:textId="1260BAB6" w:rsidR="00B71DB0" w:rsidRDefault="00FA217C" w:rsidP="00B71DB0">
      <w:r>
        <w:t xml:space="preserve">The Aging and Disability Services Division </w:t>
      </w:r>
      <w:r w:rsidR="00312558">
        <w:t>utilized</w:t>
      </w:r>
      <w:r>
        <w:t xml:space="preserve"> the CIL Evaluation Tool</w:t>
      </w:r>
      <w:r w:rsidR="00875F90">
        <w:t xml:space="preserve"> (2020) </w:t>
      </w:r>
      <w:r>
        <w:t xml:space="preserve">to </w:t>
      </w:r>
      <w:r w:rsidR="000B2377">
        <w:t>evaluate</w:t>
      </w:r>
      <w:r>
        <w:t xml:space="preserve"> 725 </w:t>
      </w:r>
      <w:r w:rsidR="00096CE0">
        <w:t>compliances.</w:t>
      </w:r>
      <w:r>
        <w:t xml:space="preserve">  This tool includes </w:t>
      </w:r>
      <w:r w:rsidR="00E33CD7">
        <w:t>two main parts:</w:t>
      </w:r>
      <w:r w:rsidR="00875F90">
        <w:t xml:space="preserve"> (1)</w:t>
      </w:r>
      <w:r w:rsidR="00E33CD7">
        <w:t xml:space="preserve"> Verification of Standards and Assurances and (2) </w:t>
      </w:r>
      <w:r w:rsidR="00875F90">
        <w:t xml:space="preserve">Verification of Organization and Administration of the CIL. There are a total of </w:t>
      </w:r>
      <w:r w:rsidR="00460DD9">
        <w:t xml:space="preserve">19 sections within the tool for evaluation. </w:t>
      </w:r>
    </w:p>
    <w:p w14:paraId="12DBA551" w14:textId="360ECB27" w:rsidR="00D2726B" w:rsidRDefault="00D2726B" w:rsidP="00D2726B">
      <w:pPr>
        <w:pStyle w:val="Heading2"/>
      </w:pPr>
      <w:r>
        <w:t>Part 1: Verification of Standards and Assurances</w:t>
      </w:r>
    </w:p>
    <w:p w14:paraId="0AF8C3DD" w14:textId="67B028AD" w:rsidR="00D2726B" w:rsidRDefault="00D26EE9" w:rsidP="00D2726B">
      <w:r>
        <w:t xml:space="preserve">This part includes 12 sections </w:t>
      </w:r>
      <w:r w:rsidR="00E57111">
        <w:t xml:space="preserve">for review. The table below summarizes the findings.  </w:t>
      </w:r>
    </w:p>
    <w:tbl>
      <w:tblPr>
        <w:tblStyle w:val="TableGrid"/>
        <w:tblW w:w="9535" w:type="dxa"/>
        <w:tblLook w:val="04A0" w:firstRow="1" w:lastRow="0" w:firstColumn="1" w:lastColumn="0" w:noHBand="0" w:noVBand="1"/>
      </w:tblPr>
      <w:tblGrid>
        <w:gridCol w:w="3415"/>
        <w:gridCol w:w="1170"/>
        <w:gridCol w:w="4950"/>
      </w:tblGrid>
      <w:tr w:rsidR="00171D12" w14:paraId="7E4A6396" w14:textId="77777777" w:rsidTr="006533EB">
        <w:tc>
          <w:tcPr>
            <w:tcW w:w="3415" w:type="dxa"/>
          </w:tcPr>
          <w:p w14:paraId="1FDA8AC3" w14:textId="4C7416F4" w:rsidR="00171D12" w:rsidRPr="006533EB" w:rsidRDefault="00171D12" w:rsidP="00D2726B">
            <w:pPr>
              <w:rPr>
                <w:b/>
                <w:bCs/>
              </w:rPr>
            </w:pPr>
            <w:r w:rsidRPr="006533EB">
              <w:rPr>
                <w:b/>
                <w:bCs/>
              </w:rPr>
              <w:t>Section Title</w:t>
            </w:r>
          </w:p>
        </w:tc>
        <w:tc>
          <w:tcPr>
            <w:tcW w:w="1170" w:type="dxa"/>
          </w:tcPr>
          <w:p w14:paraId="1E0A2EFD" w14:textId="42528060" w:rsidR="00171D12" w:rsidRPr="006533EB" w:rsidRDefault="006533EB" w:rsidP="00D2726B">
            <w:pPr>
              <w:rPr>
                <w:b/>
                <w:bCs/>
              </w:rPr>
            </w:pPr>
            <w:r>
              <w:rPr>
                <w:b/>
                <w:bCs/>
              </w:rPr>
              <w:t>Score</w:t>
            </w:r>
            <w:r w:rsidR="00171D12" w:rsidRPr="006533EB">
              <w:rPr>
                <w:b/>
                <w:bCs/>
              </w:rPr>
              <w:t xml:space="preserve"> </w:t>
            </w:r>
          </w:p>
        </w:tc>
        <w:tc>
          <w:tcPr>
            <w:tcW w:w="4950" w:type="dxa"/>
          </w:tcPr>
          <w:p w14:paraId="07B952B7" w14:textId="4F65E43C" w:rsidR="00171D12" w:rsidRPr="006533EB" w:rsidRDefault="00171D12" w:rsidP="00D2726B">
            <w:pPr>
              <w:rPr>
                <w:b/>
                <w:bCs/>
              </w:rPr>
            </w:pPr>
            <w:r w:rsidRPr="006533EB">
              <w:rPr>
                <w:b/>
                <w:bCs/>
              </w:rPr>
              <w:t>Notes</w:t>
            </w:r>
          </w:p>
        </w:tc>
      </w:tr>
      <w:tr w:rsidR="00171D12" w14:paraId="191ECD6D" w14:textId="77777777" w:rsidTr="006533EB">
        <w:tc>
          <w:tcPr>
            <w:tcW w:w="3415" w:type="dxa"/>
          </w:tcPr>
          <w:p w14:paraId="06DB62B6" w14:textId="25AA9033" w:rsidR="00171D12" w:rsidRDefault="006934ED" w:rsidP="006934ED">
            <w:pPr>
              <w:pStyle w:val="ListParagraph"/>
              <w:numPr>
                <w:ilvl w:val="0"/>
                <w:numId w:val="2"/>
              </w:numPr>
            </w:pPr>
            <w:r>
              <w:t xml:space="preserve"> Governing Board </w:t>
            </w:r>
          </w:p>
        </w:tc>
        <w:tc>
          <w:tcPr>
            <w:tcW w:w="1170" w:type="dxa"/>
          </w:tcPr>
          <w:p w14:paraId="2966A547" w14:textId="2EFB917C" w:rsidR="00171D12" w:rsidRDefault="006934ED" w:rsidP="00D2726B">
            <w:r>
              <w:t xml:space="preserve">5/5 </w:t>
            </w:r>
          </w:p>
        </w:tc>
        <w:tc>
          <w:tcPr>
            <w:tcW w:w="4950" w:type="dxa"/>
          </w:tcPr>
          <w:p w14:paraId="61DF615E" w14:textId="628895AD" w:rsidR="00171D12" w:rsidRDefault="006934ED" w:rsidP="00D2726B">
            <w:r>
              <w:t xml:space="preserve">100% of </w:t>
            </w:r>
            <w:proofErr w:type="gramStart"/>
            <w:r>
              <w:t>board</w:t>
            </w:r>
            <w:proofErr w:type="gramEnd"/>
            <w:r>
              <w:t xml:space="preserve"> has a disability. </w:t>
            </w:r>
          </w:p>
        </w:tc>
      </w:tr>
      <w:tr w:rsidR="00171D12" w14:paraId="3191AF4F" w14:textId="77777777" w:rsidTr="006533EB">
        <w:tc>
          <w:tcPr>
            <w:tcW w:w="3415" w:type="dxa"/>
          </w:tcPr>
          <w:p w14:paraId="4DBB80E0" w14:textId="232E0559" w:rsidR="00171D12" w:rsidRDefault="00C13672" w:rsidP="00C13672">
            <w:pPr>
              <w:pStyle w:val="ListParagraph"/>
              <w:numPr>
                <w:ilvl w:val="0"/>
                <w:numId w:val="2"/>
              </w:numPr>
            </w:pPr>
            <w:r>
              <w:t>CIL Employees</w:t>
            </w:r>
          </w:p>
        </w:tc>
        <w:tc>
          <w:tcPr>
            <w:tcW w:w="1170" w:type="dxa"/>
          </w:tcPr>
          <w:p w14:paraId="2D4BE6A5" w14:textId="4A7B6B83" w:rsidR="00171D12" w:rsidRDefault="008D4516" w:rsidP="00D2726B">
            <w:r>
              <w:t>2/2</w:t>
            </w:r>
          </w:p>
        </w:tc>
        <w:tc>
          <w:tcPr>
            <w:tcW w:w="4950" w:type="dxa"/>
          </w:tcPr>
          <w:p w14:paraId="53DC168A" w14:textId="428A1FB9" w:rsidR="00171D12" w:rsidRDefault="008D4516" w:rsidP="00D2726B">
            <w:r>
              <w:t xml:space="preserve">3 total employees, 1 decision-maker with a disability. </w:t>
            </w:r>
          </w:p>
        </w:tc>
      </w:tr>
      <w:tr w:rsidR="00171D12" w14:paraId="1A3C586D" w14:textId="77777777" w:rsidTr="006533EB">
        <w:tc>
          <w:tcPr>
            <w:tcW w:w="3415" w:type="dxa"/>
          </w:tcPr>
          <w:p w14:paraId="3CFF2618" w14:textId="2C6B7801" w:rsidR="00171D12" w:rsidRDefault="00C067F0" w:rsidP="008D4516">
            <w:pPr>
              <w:pStyle w:val="ListParagraph"/>
              <w:numPr>
                <w:ilvl w:val="0"/>
                <w:numId w:val="2"/>
              </w:numPr>
            </w:pPr>
            <w:r>
              <w:t>Self-help and self-advocacy</w:t>
            </w:r>
          </w:p>
        </w:tc>
        <w:tc>
          <w:tcPr>
            <w:tcW w:w="1170" w:type="dxa"/>
          </w:tcPr>
          <w:p w14:paraId="236529A2" w14:textId="2E4FB659" w:rsidR="00171D12" w:rsidRDefault="00C067F0" w:rsidP="00D2726B">
            <w:r>
              <w:t>1/1</w:t>
            </w:r>
          </w:p>
        </w:tc>
        <w:tc>
          <w:tcPr>
            <w:tcW w:w="4950" w:type="dxa"/>
          </w:tcPr>
          <w:p w14:paraId="7AFAE731" w14:textId="7FD0FA5F" w:rsidR="00171D12" w:rsidRDefault="00C067F0" w:rsidP="00D2726B">
            <w:r>
              <w:t xml:space="preserve">WRECK club; support group </w:t>
            </w:r>
          </w:p>
        </w:tc>
      </w:tr>
      <w:tr w:rsidR="00171D12" w14:paraId="0B439B22" w14:textId="77777777" w:rsidTr="006533EB">
        <w:tc>
          <w:tcPr>
            <w:tcW w:w="3415" w:type="dxa"/>
          </w:tcPr>
          <w:p w14:paraId="1818FD68" w14:textId="14208F71" w:rsidR="00171D12" w:rsidRDefault="00BA48DB" w:rsidP="00C067F0">
            <w:pPr>
              <w:pStyle w:val="ListParagraph"/>
              <w:numPr>
                <w:ilvl w:val="0"/>
                <w:numId w:val="2"/>
              </w:numPr>
            </w:pPr>
            <w:r>
              <w:t>Peer Role Models</w:t>
            </w:r>
          </w:p>
        </w:tc>
        <w:tc>
          <w:tcPr>
            <w:tcW w:w="1170" w:type="dxa"/>
          </w:tcPr>
          <w:p w14:paraId="11BE2DEA" w14:textId="4F7C7F7A" w:rsidR="00171D12" w:rsidRDefault="00BA48DB" w:rsidP="00D2726B">
            <w:r>
              <w:t>1/1</w:t>
            </w:r>
          </w:p>
        </w:tc>
        <w:tc>
          <w:tcPr>
            <w:tcW w:w="4950" w:type="dxa"/>
          </w:tcPr>
          <w:p w14:paraId="47F42726" w14:textId="2F656B22" w:rsidR="00171D12" w:rsidRDefault="00BA48DB" w:rsidP="00D2726B">
            <w:r>
              <w:t xml:space="preserve">WRECK club </w:t>
            </w:r>
          </w:p>
        </w:tc>
      </w:tr>
      <w:tr w:rsidR="00171D12" w14:paraId="103A8E45" w14:textId="77777777" w:rsidTr="006533EB">
        <w:tc>
          <w:tcPr>
            <w:tcW w:w="3415" w:type="dxa"/>
          </w:tcPr>
          <w:p w14:paraId="3BA31954" w14:textId="6FFD9014" w:rsidR="00171D12" w:rsidRDefault="00BA48DB" w:rsidP="00BA48DB">
            <w:pPr>
              <w:pStyle w:val="ListParagraph"/>
              <w:numPr>
                <w:ilvl w:val="0"/>
                <w:numId w:val="2"/>
              </w:numPr>
            </w:pPr>
            <w:r>
              <w:t>Equal Access</w:t>
            </w:r>
          </w:p>
        </w:tc>
        <w:tc>
          <w:tcPr>
            <w:tcW w:w="1170" w:type="dxa"/>
          </w:tcPr>
          <w:p w14:paraId="7B0F8B45" w14:textId="40BD0CE0" w:rsidR="00171D12" w:rsidRDefault="009953FA" w:rsidP="00D2726B">
            <w:r>
              <w:t>3/4</w:t>
            </w:r>
          </w:p>
        </w:tc>
        <w:tc>
          <w:tcPr>
            <w:tcW w:w="4950" w:type="dxa"/>
          </w:tcPr>
          <w:p w14:paraId="1E5EDB84" w14:textId="0C24C294" w:rsidR="00171D12" w:rsidRDefault="008244A6" w:rsidP="00D2726B">
            <w:r>
              <w:t xml:space="preserve">P&amp;P promote access and accessibility; </w:t>
            </w:r>
            <w:r w:rsidR="00C959E5">
              <w:t>some of the physical space signage is missing</w:t>
            </w:r>
            <w:r>
              <w:t xml:space="preserve">. </w:t>
            </w:r>
          </w:p>
        </w:tc>
      </w:tr>
      <w:tr w:rsidR="00171D12" w14:paraId="4CB514D6" w14:textId="77777777" w:rsidTr="006533EB">
        <w:tc>
          <w:tcPr>
            <w:tcW w:w="3415" w:type="dxa"/>
          </w:tcPr>
          <w:p w14:paraId="3170AB09" w14:textId="73A905A3" w:rsidR="00171D12" w:rsidRDefault="000E4934" w:rsidP="00C959E5">
            <w:pPr>
              <w:pStyle w:val="ListParagraph"/>
              <w:numPr>
                <w:ilvl w:val="0"/>
                <w:numId w:val="2"/>
              </w:numPr>
            </w:pPr>
            <w:r>
              <w:t xml:space="preserve">Cross Disability </w:t>
            </w:r>
            <w:r w:rsidR="007F2E9C">
              <w:t>Service Provision</w:t>
            </w:r>
          </w:p>
        </w:tc>
        <w:tc>
          <w:tcPr>
            <w:tcW w:w="1170" w:type="dxa"/>
          </w:tcPr>
          <w:p w14:paraId="4A5E3410" w14:textId="5043B549" w:rsidR="00171D12" w:rsidRDefault="007F2E9C" w:rsidP="00D2726B">
            <w:r>
              <w:t>2/2</w:t>
            </w:r>
          </w:p>
        </w:tc>
        <w:tc>
          <w:tcPr>
            <w:tcW w:w="4950" w:type="dxa"/>
          </w:tcPr>
          <w:p w14:paraId="1B0021B5" w14:textId="5BC4A6F5" w:rsidR="00171D12" w:rsidRDefault="007F2E9C" w:rsidP="00D2726B">
            <w:r>
              <w:t>N/A</w:t>
            </w:r>
          </w:p>
        </w:tc>
      </w:tr>
      <w:tr w:rsidR="00171D12" w14:paraId="157FCA59" w14:textId="77777777" w:rsidTr="006533EB">
        <w:tc>
          <w:tcPr>
            <w:tcW w:w="3415" w:type="dxa"/>
          </w:tcPr>
          <w:p w14:paraId="59ED40AA" w14:textId="27D0E9EA" w:rsidR="00171D12" w:rsidRDefault="007F2E9C" w:rsidP="007F2E9C">
            <w:pPr>
              <w:pStyle w:val="ListParagraph"/>
              <w:numPr>
                <w:ilvl w:val="0"/>
                <w:numId w:val="2"/>
              </w:numPr>
            </w:pPr>
            <w:r>
              <w:t>IL Goals</w:t>
            </w:r>
          </w:p>
        </w:tc>
        <w:tc>
          <w:tcPr>
            <w:tcW w:w="1170" w:type="dxa"/>
          </w:tcPr>
          <w:p w14:paraId="7DD69B50" w14:textId="77F72E87" w:rsidR="00171D12" w:rsidRDefault="00CF3808" w:rsidP="00D2726B">
            <w:r>
              <w:t>15/17</w:t>
            </w:r>
          </w:p>
        </w:tc>
        <w:tc>
          <w:tcPr>
            <w:tcW w:w="4950" w:type="dxa"/>
          </w:tcPr>
          <w:p w14:paraId="2D1138EF" w14:textId="47067A14" w:rsidR="00171D12" w:rsidRDefault="00CF3808" w:rsidP="00D2726B">
            <w:r>
              <w:t xml:space="preserve">C-CIL suite is strengthening documentation around plans and goals; still transitioning to this system and </w:t>
            </w:r>
            <w:r w:rsidR="008B0B12">
              <w:t xml:space="preserve">expanding P&amp;Ps to strengthen documentation efforts.  </w:t>
            </w:r>
          </w:p>
        </w:tc>
      </w:tr>
      <w:tr w:rsidR="00A55586" w14:paraId="6816D2CB" w14:textId="77777777" w:rsidTr="006533EB">
        <w:tc>
          <w:tcPr>
            <w:tcW w:w="3415" w:type="dxa"/>
          </w:tcPr>
          <w:p w14:paraId="3D159DB6" w14:textId="2BEB3E6D" w:rsidR="00A55586" w:rsidRDefault="00A55586" w:rsidP="007F2E9C">
            <w:pPr>
              <w:pStyle w:val="ListParagraph"/>
              <w:numPr>
                <w:ilvl w:val="0"/>
                <w:numId w:val="2"/>
              </w:numPr>
            </w:pPr>
            <w:r>
              <w:t xml:space="preserve">Community Options </w:t>
            </w:r>
          </w:p>
        </w:tc>
        <w:tc>
          <w:tcPr>
            <w:tcW w:w="1170" w:type="dxa"/>
          </w:tcPr>
          <w:p w14:paraId="01501AE0" w14:textId="4B18B91B" w:rsidR="00A55586" w:rsidRDefault="00D64F37" w:rsidP="00D2726B">
            <w:r>
              <w:t>5/6</w:t>
            </w:r>
          </w:p>
        </w:tc>
        <w:tc>
          <w:tcPr>
            <w:tcW w:w="4950" w:type="dxa"/>
          </w:tcPr>
          <w:p w14:paraId="7923A8FC" w14:textId="0138872A" w:rsidR="00A55586" w:rsidRDefault="00D64F37" w:rsidP="00D2726B">
            <w:r>
              <w:t xml:space="preserve">Have evidence of outreach </w:t>
            </w:r>
            <w:proofErr w:type="gramStart"/>
            <w:r>
              <w:t>events, but</w:t>
            </w:r>
            <w:proofErr w:type="gramEnd"/>
            <w:r>
              <w:t xml:space="preserve"> need a formal mechanism to document efforts</w:t>
            </w:r>
            <w:r w:rsidR="00742CA5">
              <w:t xml:space="preserve">. Data not available to verify unserved or underserved outreach. </w:t>
            </w:r>
          </w:p>
        </w:tc>
      </w:tr>
      <w:tr w:rsidR="00A55586" w14:paraId="2200FADF" w14:textId="77777777" w:rsidTr="006533EB">
        <w:tc>
          <w:tcPr>
            <w:tcW w:w="3415" w:type="dxa"/>
          </w:tcPr>
          <w:p w14:paraId="0D2E8A91" w14:textId="7A04B74E" w:rsidR="00A55586" w:rsidRDefault="00742CA5" w:rsidP="007F2E9C">
            <w:pPr>
              <w:pStyle w:val="ListParagraph"/>
              <w:numPr>
                <w:ilvl w:val="0"/>
                <w:numId w:val="2"/>
              </w:numPr>
            </w:pPr>
            <w:r>
              <w:t xml:space="preserve">IL Core Services </w:t>
            </w:r>
          </w:p>
        </w:tc>
        <w:tc>
          <w:tcPr>
            <w:tcW w:w="1170" w:type="dxa"/>
          </w:tcPr>
          <w:p w14:paraId="4D868D27" w14:textId="3328583E" w:rsidR="00A55586" w:rsidRDefault="00AA2EE3" w:rsidP="00D2726B">
            <w:r>
              <w:t>7/7</w:t>
            </w:r>
          </w:p>
        </w:tc>
        <w:tc>
          <w:tcPr>
            <w:tcW w:w="4950" w:type="dxa"/>
          </w:tcPr>
          <w:p w14:paraId="3DE1FF03" w14:textId="26D3DA37" w:rsidR="00A55586" w:rsidRDefault="00AA2EE3" w:rsidP="00D2726B">
            <w:r>
              <w:t xml:space="preserve">Current Focus – housing and </w:t>
            </w:r>
            <w:r w:rsidR="0013103E">
              <w:t xml:space="preserve">school advocacy for IEP. </w:t>
            </w:r>
          </w:p>
        </w:tc>
      </w:tr>
      <w:tr w:rsidR="00A55586" w14:paraId="51FEECB4" w14:textId="77777777" w:rsidTr="006533EB">
        <w:tc>
          <w:tcPr>
            <w:tcW w:w="3415" w:type="dxa"/>
          </w:tcPr>
          <w:p w14:paraId="501BC5E0" w14:textId="272D3087" w:rsidR="00A55586" w:rsidRDefault="0013103E" w:rsidP="007F2E9C">
            <w:pPr>
              <w:pStyle w:val="ListParagraph"/>
              <w:numPr>
                <w:ilvl w:val="0"/>
                <w:numId w:val="2"/>
              </w:numPr>
            </w:pPr>
            <w:r>
              <w:t>Resource Development</w:t>
            </w:r>
          </w:p>
        </w:tc>
        <w:tc>
          <w:tcPr>
            <w:tcW w:w="1170" w:type="dxa"/>
          </w:tcPr>
          <w:p w14:paraId="548304AE" w14:textId="727069BC" w:rsidR="00A55586" w:rsidRDefault="0013103E" w:rsidP="00D2726B">
            <w:r>
              <w:t>1/1</w:t>
            </w:r>
          </w:p>
        </w:tc>
        <w:tc>
          <w:tcPr>
            <w:tcW w:w="4950" w:type="dxa"/>
          </w:tcPr>
          <w:p w14:paraId="41576D0A" w14:textId="0FCFFA3E" w:rsidR="00A55586" w:rsidRDefault="0013103E" w:rsidP="00D2726B">
            <w:r>
              <w:t xml:space="preserve">Limited efforts, but reoccurring events such as Farmer’s Market. </w:t>
            </w:r>
          </w:p>
        </w:tc>
      </w:tr>
      <w:tr w:rsidR="00A55586" w14:paraId="4A766541" w14:textId="77777777" w:rsidTr="006533EB">
        <w:tc>
          <w:tcPr>
            <w:tcW w:w="3415" w:type="dxa"/>
          </w:tcPr>
          <w:p w14:paraId="0A462B13" w14:textId="40A67F2E" w:rsidR="00A55586" w:rsidRDefault="0013103E" w:rsidP="007F2E9C">
            <w:pPr>
              <w:pStyle w:val="ListParagraph"/>
              <w:numPr>
                <w:ilvl w:val="0"/>
                <w:numId w:val="2"/>
              </w:numPr>
            </w:pPr>
            <w:r>
              <w:t>Program &amp; Financial Planning</w:t>
            </w:r>
          </w:p>
        </w:tc>
        <w:tc>
          <w:tcPr>
            <w:tcW w:w="1170" w:type="dxa"/>
          </w:tcPr>
          <w:p w14:paraId="40EF2B3A" w14:textId="5BF77781" w:rsidR="00A55586" w:rsidRDefault="00656F2E" w:rsidP="00D2726B">
            <w:r>
              <w:t>1/</w:t>
            </w:r>
            <w:r w:rsidR="00C728F7">
              <w:t>7</w:t>
            </w:r>
          </w:p>
        </w:tc>
        <w:tc>
          <w:tcPr>
            <w:tcW w:w="4950" w:type="dxa"/>
          </w:tcPr>
          <w:p w14:paraId="325A3A2C" w14:textId="31CB8BA3" w:rsidR="00A55586" w:rsidRDefault="00C728F7" w:rsidP="00D2726B">
            <w:r>
              <w:t xml:space="preserve">Detailed </w:t>
            </w:r>
            <w:proofErr w:type="gramStart"/>
            <w:r>
              <w:t>3 year</w:t>
            </w:r>
            <w:proofErr w:type="gramEnd"/>
            <w:r>
              <w:t xml:space="preserve"> financial plan; informal program planning through WRECK club. </w:t>
            </w:r>
          </w:p>
        </w:tc>
      </w:tr>
      <w:tr w:rsidR="00A55586" w14:paraId="1BDB8217" w14:textId="77777777" w:rsidTr="006533EB">
        <w:tc>
          <w:tcPr>
            <w:tcW w:w="3415" w:type="dxa"/>
          </w:tcPr>
          <w:p w14:paraId="35A89469" w14:textId="10868C4E" w:rsidR="00A55586" w:rsidRDefault="00C728F7" w:rsidP="007F2E9C">
            <w:pPr>
              <w:pStyle w:val="ListParagraph"/>
              <w:numPr>
                <w:ilvl w:val="0"/>
                <w:numId w:val="2"/>
              </w:numPr>
            </w:pPr>
            <w:r>
              <w:t xml:space="preserve">PPR Accuracy </w:t>
            </w:r>
          </w:p>
        </w:tc>
        <w:tc>
          <w:tcPr>
            <w:tcW w:w="1170" w:type="dxa"/>
          </w:tcPr>
          <w:p w14:paraId="1F525185" w14:textId="682B301D" w:rsidR="00A55586" w:rsidRDefault="000B7F53" w:rsidP="00D2726B">
            <w:r>
              <w:t>N/A</w:t>
            </w:r>
          </w:p>
        </w:tc>
        <w:tc>
          <w:tcPr>
            <w:tcW w:w="4950" w:type="dxa"/>
          </w:tcPr>
          <w:p w14:paraId="340E18D5" w14:textId="53043889" w:rsidR="00A55586" w:rsidRDefault="000B7F53" w:rsidP="00D2726B">
            <w:r>
              <w:t xml:space="preserve">Not currently a Part C CIL.  </w:t>
            </w:r>
          </w:p>
        </w:tc>
      </w:tr>
    </w:tbl>
    <w:p w14:paraId="0B2A6893" w14:textId="77777777" w:rsidR="00E57111" w:rsidRPr="00D2726B" w:rsidRDefault="00E57111" w:rsidP="00D2726B"/>
    <w:p w14:paraId="71E4C948" w14:textId="18978832" w:rsidR="00B71DB0" w:rsidRDefault="000B7F53" w:rsidP="00227BDD">
      <w:r>
        <w:t xml:space="preserve">Overall, the RCIL has demonstrated they met the assurances </w:t>
      </w:r>
      <w:r w:rsidR="00F05FC9">
        <w:t xml:space="preserve">required in Part 1.  There are opportunities to formalize documentation and planning efforts.  </w:t>
      </w:r>
    </w:p>
    <w:p w14:paraId="168D80FA" w14:textId="110B43C2" w:rsidR="00F05FC9" w:rsidRDefault="00F05FC9" w:rsidP="00A41427">
      <w:pPr>
        <w:pStyle w:val="Heading2"/>
      </w:pPr>
      <w:r>
        <w:t>Part 2</w:t>
      </w:r>
      <w:r w:rsidR="00A41427">
        <w:t xml:space="preserve">: Verification of Organization and Administration of the CIL </w:t>
      </w:r>
    </w:p>
    <w:p w14:paraId="3289E69F" w14:textId="45783FE1" w:rsidR="00A41427" w:rsidRDefault="00A41427" w:rsidP="00A41427">
      <w:r>
        <w:t xml:space="preserve">This part includes </w:t>
      </w:r>
      <w:r w:rsidR="006533EB">
        <w:t xml:space="preserve">seven (7) sections for review.  The table below summarizes the findings.  </w:t>
      </w:r>
    </w:p>
    <w:tbl>
      <w:tblPr>
        <w:tblStyle w:val="TableGrid"/>
        <w:tblW w:w="0" w:type="auto"/>
        <w:tblLook w:val="04A0" w:firstRow="1" w:lastRow="0" w:firstColumn="1" w:lastColumn="0" w:noHBand="0" w:noVBand="1"/>
      </w:tblPr>
      <w:tblGrid>
        <w:gridCol w:w="3415"/>
        <w:gridCol w:w="990"/>
        <w:gridCol w:w="4945"/>
      </w:tblGrid>
      <w:tr w:rsidR="006533EB" w14:paraId="34E83B33" w14:textId="77777777" w:rsidTr="006533EB">
        <w:tc>
          <w:tcPr>
            <w:tcW w:w="3415" w:type="dxa"/>
          </w:tcPr>
          <w:p w14:paraId="40DF7EB6" w14:textId="30B58BEC" w:rsidR="006533EB" w:rsidRPr="006533EB" w:rsidRDefault="006533EB" w:rsidP="00A41427">
            <w:pPr>
              <w:rPr>
                <w:b/>
                <w:bCs/>
              </w:rPr>
            </w:pPr>
            <w:r w:rsidRPr="006533EB">
              <w:rPr>
                <w:b/>
                <w:bCs/>
              </w:rPr>
              <w:t>Section Title</w:t>
            </w:r>
          </w:p>
        </w:tc>
        <w:tc>
          <w:tcPr>
            <w:tcW w:w="990" w:type="dxa"/>
          </w:tcPr>
          <w:p w14:paraId="590CF251" w14:textId="3A71978C" w:rsidR="006533EB" w:rsidRPr="006533EB" w:rsidRDefault="006533EB" w:rsidP="00A41427">
            <w:pPr>
              <w:rPr>
                <w:b/>
                <w:bCs/>
              </w:rPr>
            </w:pPr>
            <w:r w:rsidRPr="006533EB">
              <w:rPr>
                <w:b/>
                <w:bCs/>
              </w:rPr>
              <w:t>Score</w:t>
            </w:r>
          </w:p>
        </w:tc>
        <w:tc>
          <w:tcPr>
            <w:tcW w:w="4945" w:type="dxa"/>
          </w:tcPr>
          <w:p w14:paraId="60B90456" w14:textId="2BB73B32" w:rsidR="006533EB" w:rsidRPr="006533EB" w:rsidRDefault="006533EB" w:rsidP="00A41427">
            <w:pPr>
              <w:rPr>
                <w:b/>
                <w:bCs/>
              </w:rPr>
            </w:pPr>
            <w:r w:rsidRPr="006533EB">
              <w:rPr>
                <w:b/>
                <w:bCs/>
              </w:rPr>
              <w:t>Notes</w:t>
            </w:r>
          </w:p>
        </w:tc>
      </w:tr>
      <w:tr w:rsidR="006533EB" w14:paraId="619566BB" w14:textId="77777777" w:rsidTr="006533EB">
        <w:tc>
          <w:tcPr>
            <w:tcW w:w="3415" w:type="dxa"/>
          </w:tcPr>
          <w:p w14:paraId="4C33D2D7" w14:textId="5530AAEC" w:rsidR="006533EB" w:rsidRDefault="00300CEA" w:rsidP="00300CEA">
            <w:pPr>
              <w:pStyle w:val="ListParagraph"/>
              <w:numPr>
                <w:ilvl w:val="0"/>
                <w:numId w:val="3"/>
              </w:numPr>
            </w:pPr>
            <w:r>
              <w:t>Organizational and Personnel Practices</w:t>
            </w:r>
          </w:p>
        </w:tc>
        <w:tc>
          <w:tcPr>
            <w:tcW w:w="990" w:type="dxa"/>
          </w:tcPr>
          <w:p w14:paraId="7B2C6E99" w14:textId="15E33EB4" w:rsidR="006533EB" w:rsidRDefault="005C72AF" w:rsidP="00A41427">
            <w:r>
              <w:t>3/3</w:t>
            </w:r>
          </w:p>
        </w:tc>
        <w:tc>
          <w:tcPr>
            <w:tcW w:w="4945" w:type="dxa"/>
          </w:tcPr>
          <w:p w14:paraId="729BE462" w14:textId="661808CC" w:rsidR="006533EB" w:rsidRDefault="005C72AF" w:rsidP="00A41427">
            <w:r>
              <w:t xml:space="preserve">Comprehensive personnel handbook </w:t>
            </w:r>
          </w:p>
        </w:tc>
      </w:tr>
      <w:tr w:rsidR="006533EB" w14:paraId="1BB2B0EA" w14:textId="77777777" w:rsidTr="006533EB">
        <w:tc>
          <w:tcPr>
            <w:tcW w:w="3415" w:type="dxa"/>
          </w:tcPr>
          <w:p w14:paraId="3B92F9C3" w14:textId="288046DF" w:rsidR="006533EB" w:rsidRDefault="00E90C9E" w:rsidP="005C72AF">
            <w:pPr>
              <w:pStyle w:val="ListParagraph"/>
              <w:numPr>
                <w:ilvl w:val="0"/>
                <w:numId w:val="3"/>
              </w:numPr>
            </w:pPr>
            <w:r>
              <w:t>Staff Development and Training</w:t>
            </w:r>
          </w:p>
        </w:tc>
        <w:tc>
          <w:tcPr>
            <w:tcW w:w="990" w:type="dxa"/>
          </w:tcPr>
          <w:p w14:paraId="108481EA" w14:textId="2EB52B0F" w:rsidR="006533EB" w:rsidRDefault="00FC2211" w:rsidP="00A41427">
            <w:r>
              <w:t>3/4</w:t>
            </w:r>
          </w:p>
        </w:tc>
        <w:tc>
          <w:tcPr>
            <w:tcW w:w="4945" w:type="dxa"/>
          </w:tcPr>
          <w:p w14:paraId="467899D7" w14:textId="23BB9D88" w:rsidR="006533EB" w:rsidRDefault="00FC2211" w:rsidP="00A41427">
            <w:r>
              <w:t xml:space="preserve">ILRU training, job shadowing, </w:t>
            </w:r>
            <w:r w:rsidR="00FA63E9">
              <w:t xml:space="preserve">and C-CIL orientation.  No specific IL Specialist job description but duties within 3 position descriptions. </w:t>
            </w:r>
          </w:p>
        </w:tc>
      </w:tr>
      <w:tr w:rsidR="006533EB" w14:paraId="1729DC59" w14:textId="77777777" w:rsidTr="006533EB">
        <w:tc>
          <w:tcPr>
            <w:tcW w:w="3415" w:type="dxa"/>
          </w:tcPr>
          <w:p w14:paraId="3139B263" w14:textId="47B1F7E6" w:rsidR="006533EB" w:rsidRDefault="007C0887" w:rsidP="00FA63E9">
            <w:pPr>
              <w:pStyle w:val="ListParagraph"/>
              <w:numPr>
                <w:ilvl w:val="0"/>
                <w:numId w:val="3"/>
              </w:numPr>
            </w:pPr>
            <w:r>
              <w:t>Conflict of Interest</w:t>
            </w:r>
          </w:p>
        </w:tc>
        <w:tc>
          <w:tcPr>
            <w:tcW w:w="990" w:type="dxa"/>
          </w:tcPr>
          <w:p w14:paraId="0D7D4E58" w14:textId="0C129CAD" w:rsidR="006533EB" w:rsidRDefault="007C0887" w:rsidP="00A41427">
            <w:r>
              <w:t>2/2</w:t>
            </w:r>
          </w:p>
        </w:tc>
        <w:tc>
          <w:tcPr>
            <w:tcW w:w="4945" w:type="dxa"/>
          </w:tcPr>
          <w:p w14:paraId="1B33394C" w14:textId="664A58BB" w:rsidR="006533EB" w:rsidRDefault="007C0887" w:rsidP="00A41427">
            <w:r>
              <w:t xml:space="preserve">Comprehensive personnel handbook </w:t>
            </w:r>
          </w:p>
        </w:tc>
      </w:tr>
      <w:tr w:rsidR="006533EB" w14:paraId="16A755BC" w14:textId="77777777" w:rsidTr="006533EB">
        <w:tc>
          <w:tcPr>
            <w:tcW w:w="3415" w:type="dxa"/>
          </w:tcPr>
          <w:p w14:paraId="3BF6FD9A" w14:textId="3EE4D462" w:rsidR="006533EB" w:rsidRDefault="007C0887" w:rsidP="007C0887">
            <w:pPr>
              <w:pStyle w:val="ListParagraph"/>
              <w:numPr>
                <w:ilvl w:val="0"/>
                <w:numId w:val="3"/>
              </w:numPr>
            </w:pPr>
            <w:r>
              <w:t xml:space="preserve">Confidentiality </w:t>
            </w:r>
          </w:p>
        </w:tc>
        <w:tc>
          <w:tcPr>
            <w:tcW w:w="990" w:type="dxa"/>
          </w:tcPr>
          <w:p w14:paraId="0D6BCA6D" w14:textId="196791B1" w:rsidR="006533EB" w:rsidRDefault="00D46135" w:rsidP="00A41427">
            <w:r>
              <w:t>3</w:t>
            </w:r>
            <w:r w:rsidR="000E61FE">
              <w:t>/4</w:t>
            </w:r>
          </w:p>
        </w:tc>
        <w:tc>
          <w:tcPr>
            <w:tcW w:w="4945" w:type="dxa"/>
          </w:tcPr>
          <w:p w14:paraId="7B416407" w14:textId="44C7E696" w:rsidR="006533EB" w:rsidRDefault="00D46135" w:rsidP="00A41427">
            <w:r>
              <w:t xml:space="preserve">Notice of Privacy Policy documentation missing. </w:t>
            </w:r>
          </w:p>
        </w:tc>
      </w:tr>
      <w:tr w:rsidR="009125B4" w14:paraId="2F01C46D" w14:textId="77777777" w:rsidTr="006533EB">
        <w:tc>
          <w:tcPr>
            <w:tcW w:w="3415" w:type="dxa"/>
          </w:tcPr>
          <w:p w14:paraId="30D3DFC8" w14:textId="16F62589" w:rsidR="009125B4" w:rsidRDefault="00DD4658" w:rsidP="00D46135">
            <w:pPr>
              <w:pStyle w:val="ListParagraph"/>
              <w:numPr>
                <w:ilvl w:val="0"/>
                <w:numId w:val="3"/>
              </w:numPr>
            </w:pPr>
            <w:r>
              <w:t>Drug-Free Workplace</w:t>
            </w:r>
          </w:p>
        </w:tc>
        <w:tc>
          <w:tcPr>
            <w:tcW w:w="990" w:type="dxa"/>
          </w:tcPr>
          <w:p w14:paraId="4B3CC529" w14:textId="2379DC72" w:rsidR="009125B4" w:rsidRDefault="00DD4658" w:rsidP="00A41427">
            <w:r>
              <w:t>2/2</w:t>
            </w:r>
          </w:p>
        </w:tc>
        <w:tc>
          <w:tcPr>
            <w:tcW w:w="4945" w:type="dxa"/>
          </w:tcPr>
          <w:p w14:paraId="75649700" w14:textId="675313C1" w:rsidR="009125B4" w:rsidRDefault="00DD4658" w:rsidP="00A41427">
            <w:r>
              <w:t>Comprehensive personnel handbook</w:t>
            </w:r>
          </w:p>
        </w:tc>
      </w:tr>
      <w:tr w:rsidR="006533EB" w14:paraId="07EB7865" w14:textId="77777777" w:rsidTr="006533EB">
        <w:tc>
          <w:tcPr>
            <w:tcW w:w="3415" w:type="dxa"/>
          </w:tcPr>
          <w:p w14:paraId="2C90C412" w14:textId="5E709DAA" w:rsidR="006533EB" w:rsidRDefault="00D46135" w:rsidP="00D46135">
            <w:pPr>
              <w:pStyle w:val="ListParagraph"/>
              <w:numPr>
                <w:ilvl w:val="0"/>
                <w:numId w:val="3"/>
              </w:numPr>
            </w:pPr>
            <w:r>
              <w:t xml:space="preserve">Nondiscrimination </w:t>
            </w:r>
          </w:p>
        </w:tc>
        <w:tc>
          <w:tcPr>
            <w:tcW w:w="990" w:type="dxa"/>
          </w:tcPr>
          <w:p w14:paraId="48BEB7E9" w14:textId="5CD96877" w:rsidR="006533EB" w:rsidRDefault="00A76F92" w:rsidP="00A41427">
            <w:r>
              <w:t>1/1</w:t>
            </w:r>
          </w:p>
        </w:tc>
        <w:tc>
          <w:tcPr>
            <w:tcW w:w="4945" w:type="dxa"/>
          </w:tcPr>
          <w:p w14:paraId="57A24986" w14:textId="4D08B32D" w:rsidR="006533EB" w:rsidRDefault="00A76F92" w:rsidP="00A41427">
            <w:r>
              <w:t>Comprehensive personnel handbook</w:t>
            </w:r>
          </w:p>
        </w:tc>
      </w:tr>
      <w:tr w:rsidR="006533EB" w14:paraId="2D049002" w14:textId="77777777" w:rsidTr="006533EB">
        <w:tc>
          <w:tcPr>
            <w:tcW w:w="3415" w:type="dxa"/>
          </w:tcPr>
          <w:p w14:paraId="6F765E94" w14:textId="7577551D" w:rsidR="006533EB" w:rsidRDefault="00A76F92" w:rsidP="00A76F92">
            <w:pPr>
              <w:pStyle w:val="ListParagraph"/>
              <w:numPr>
                <w:ilvl w:val="0"/>
                <w:numId w:val="3"/>
              </w:numPr>
            </w:pPr>
            <w:r>
              <w:t>Prohibition against Lobbying</w:t>
            </w:r>
          </w:p>
        </w:tc>
        <w:tc>
          <w:tcPr>
            <w:tcW w:w="990" w:type="dxa"/>
          </w:tcPr>
          <w:p w14:paraId="2B175432" w14:textId="4114C0E7" w:rsidR="006533EB" w:rsidRDefault="00E921D0" w:rsidP="00A41427">
            <w:r>
              <w:t>1/2</w:t>
            </w:r>
          </w:p>
        </w:tc>
        <w:tc>
          <w:tcPr>
            <w:tcW w:w="4945" w:type="dxa"/>
          </w:tcPr>
          <w:p w14:paraId="3905C287" w14:textId="7DBEBC5D" w:rsidR="006533EB" w:rsidRDefault="00E921D0" w:rsidP="00A41427">
            <w:r>
              <w:t>Need policy regarding lobbying</w:t>
            </w:r>
          </w:p>
        </w:tc>
      </w:tr>
    </w:tbl>
    <w:p w14:paraId="35413D4E" w14:textId="77777777" w:rsidR="006533EB" w:rsidRDefault="006533EB" w:rsidP="00A41427"/>
    <w:p w14:paraId="5EA5F985" w14:textId="35FE6154" w:rsidR="00E921D0" w:rsidRDefault="00E921D0" w:rsidP="00E75740">
      <w:pPr>
        <w:pStyle w:val="Heading1"/>
      </w:pPr>
      <w:r>
        <w:t xml:space="preserve">Conclusion </w:t>
      </w:r>
    </w:p>
    <w:p w14:paraId="4B6EEC4F" w14:textId="12DCA362" w:rsidR="00E921D0" w:rsidRPr="00A41427" w:rsidRDefault="000B1A69" w:rsidP="00A41427">
      <w:r>
        <w:t xml:space="preserve">The RCIL has been providing services in northern Nevada for the past 25 years and </w:t>
      </w:r>
      <w:r w:rsidR="00280B17">
        <w:t xml:space="preserve">is working to formalize many processes to ensure future efforts to expand and develop the organization are successful.  </w:t>
      </w:r>
      <w:r w:rsidR="00312558">
        <w:t xml:space="preserve">Based on the on-site reviews, including case file reviews, policy reviews, and the interview with RCIL Executive Director, DeeDee Foremaster, ADSD has determined that the RCIL appears to meet the minimum requirements of a center for independent living under section 725.  </w:t>
      </w:r>
    </w:p>
    <w:p w14:paraId="5C97068D" w14:textId="77777777" w:rsidR="00A41427" w:rsidRDefault="00A41427" w:rsidP="00227BDD"/>
    <w:p w14:paraId="04673393" w14:textId="77777777" w:rsidR="00623CE5" w:rsidRPr="00227BDD" w:rsidRDefault="00623CE5" w:rsidP="00227BDD"/>
    <w:p w14:paraId="5F54D553" w14:textId="77777777" w:rsidR="00227BDD" w:rsidRDefault="00227BDD"/>
    <w:p w14:paraId="1642F4C6" w14:textId="77777777" w:rsidR="00227BDD" w:rsidRDefault="00227BDD"/>
    <w:sectPr w:rsidR="00227BD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15956" w14:textId="77777777" w:rsidR="00165A55" w:rsidRDefault="00165A55" w:rsidP="00B71DB0">
      <w:pPr>
        <w:spacing w:after="0" w:line="240" w:lineRule="auto"/>
      </w:pPr>
      <w:r>
        <w:separator/>
      </w:r>
    </w:p>
  </w:endnote>
  <w:endnote w:type="continuationSeparator" w:id="0">
    <w:p w14:paraId="4FD84002" w14:textId="77777777" w:rsidR="00165A55" w:rsidRDefault="00165A55" w:rsidP="00B7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240B" w14:textId="77777777" w:rsidR="00096CE0" w:rsidRDefault="00096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F9A5" w14:textId="3196DA95" w:rsidR="00B71DB0" w:rsidRDefault="00B71DB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F25B" w14:textId="77777777" w:rsidR="00096CE0" w:rsidRDefault="0009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5F9F" w14:textId="77777777" w:rsidR="00165A55" w:rsidRDefault="00165A55" w:rsidP="00B71DB0">
      <w:pPr>
        <w:spacing w:after="0" w:line="240" w:lineRule="auto"/>
      </w:pPr>
      <w:r>
        <w:separator/>
      </w:r>
    </w:p>
  </w:footnote>
  <w:footnote w:type="continuationSeparator" w:id="0">
    <w:p w14:paraId="3D4F98FB" w14:textId="77777777" w:rsidR="00165A55" w:rsidRDefault="00165A55" w:rsidP="00B7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726D" w14:textId="77777777" w:rsidR="00096CE0" w:rsidRDefault="00096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594618"/>
      <w:docPartObj>
        <w:docPartGallery w:val="Watermarks"/>
        <w:docPartUnique/>
      </w:docPartObj>
    </w:sdtPr>
    <w:sdtEndPr/>
    <w:sdtContent>
      <w:p w14:paraId="69221246" w14:textId="23450CE1" w:rsidR="00096CE0" w:rsidRDefault="00FD639E">
        <w:pPr>
          <w:pStyle w:val="Header"/>
        </w:pPr>
        <w:r>
          <w:rPr>
            <w:noProof/>
          </w:rPr>
          <w:pict w14:anchorId="7B626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B0F5" w14:textId="77777777" w:rsidR="00096CE0" w:rsidRDefault="00096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A0695"/>
    <w:multiLevelType w:val="hybridMultilevel"/>
    <w:tmpl w:val="42C6F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64598"/>
    <w:multiLevelType w:val="hybridMultilevel"/>
    <w:tmpl w:val="506CC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E56F2F"/>
    <w:multiLevelType w:val="hybridMultilevel"/>
    <w:tmpl w:val="4FB67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309535">
    <w:abstractNumId w:val="2"/>
  </w:num>
  <w:num w:numId="2" w16cid:durableId="1652171291">
    <w:abstractNumId w:val="0"/>
  </w:num>
  <w:num w:numId="3" w16cid:durableId="1794253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DD"/>
    <w:rsid w:val="00096CE0"/>
    <w:rsid w:val="000B1A69"/>
    <w:rsid w:val="000B2377"/>
    <w:rsid w:val="000B7F53"/>
    <w:rsid w:val="000E4934"/>
    <w:rsid w:val="000E61FE"/>
    <w:rsid w:val="0013103E"/>
    <w:rsid w:val="00165A55"/>
    <w:rsid w:val="00171D12"/>
    <w:rsid w:val="001C63CB"/>
    <w:rsid w:val="00227BDD"/>
    <w:rsid w:val="00280B17"/>
    <w:rsid w:val="00300CEA"/>
    <w:rsid w:val="00312558"/>
    <w:rsid w:val="00341826"/>
    <w:rsid w:val="00416547"/>
    <w:rsid w:val="00430A65"/>
    <w:rsid w:val="00432198"/>
    <w:rsid w:val="00460DD9"/>
    <w:rsid w:val="005C72AF"/>
    <w:rsid w:val="00613D05"/>
    <w:rsid w:val="00623CE5"/>
    <w:rsid w:val="006533EB"/>
    <w:rsid w:val="00656F2E"/>
    <w:rsid w:val="006934ED"/>
    <w:rsid w:val="00742CA5"/>
    <w:rsid w:val="007C0887"/>
    <w:rsid w:val="007F2E9C"/>
    <w:rsid w:val="008244A6"/>
    <w:rsid w:val="008314C2"/>
    <w:rsid w:val="008711EA"/>
    <w:rsid w:val="00875F90"/>
    <w:rsid w:val="00891669"/>
    <w:rsid w:val="008B0B12"/>
    <w:rsid w:val="008D4516"/>
    <w:rsid w:val="009036B9"/>
    <w:rsid w:val="009125B4"/>
    <w:rsid w:val="009953FA"/>
    <w:rsid w:val="009C2BE2"/>
    <w:rsid w:val="00A41427"/>
    <w:rsid w:val="00A55586"/>
    <w:rsid w:val="00A76F92"/>
    <w:rsid w:val="00AA2EE3"/>
    <w:rsid w:val="00AD6C86"/>
    <w:rsid w:val="00AE07C3"/>
    <w:rsid w:val="00B71DB0"/>
    <w:rsid w:val="00BA3C0A"/>
    <w:rsid w:val="00BA48DB"/>
    <w:rsid w:val="00C067F0"/>
    <w:rsid w:val="00C13672"/>
    <w:rsid w:val="00C679BE"/>
    <w:rsid w:val="00C728F7"/>
    <w:rsid w:val="00C959E5"/>
    <w:rsid w:val="00CF3808"/>
    <w:rsid w:val="00D26EE9"/>
    <w:rsid w:val="00D2726B"/>
    <w:rsid w:val="00D46135"/>
    <w:rsid w:val="00D57FA8"/>
    <w:rsid w:val="00D64F37"/>
    <w:rsid w:val="00D854D0"/>
    <w:rsid w:val="00DD4658"/>
    <w:rsid w:val="00E33CD7"/>
    <w:rsid w:val="00E57111"/>
    <w:rsid w:val="00E75740"/>
    <w:rsid w:val="00E90C9E"/>
    <w:rsid w:val="00E921D0"/>
    <w:rsid w:val="00ED5CB4"/>
    <w:rsid w:val="00F05FC9"/>
    <w:rsid w:val="00FA217C"/>
    <w:rsid w:val="00FA63E9"/>
    <w:rsid w:val="00FC2211"/>
    <w:rsid w:val="00FD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01FA69"/>
  <w15:chartTrackingRefBased/>
  <w15:docId w15:val="{3878BB21-5750-4C5C-98FE-C92BB646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7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7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BDD"/>
    <w:rPr>
      <w:rFonts w:eastAsiaTheme="majorEastAsia" w:cstheme="majorBidi"/>
      <w:color w:val="272727" w:themeColor="text1" w:themeTint="D8"/>
    </w:rPr>
  </w:style>
  <w:style w:type="paragraph" w:styleId="Title">
    <w:name w:val="Title"/>
    <w:basedOn w:val="Normal"/>
    <w:next w:val="Normal"/>
    <w:link w:val="TitleChar"/>
    <w:uiPriority w:val="10"/>
    <w:qFormat/>
    <w:rsid w:val="00227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BDD"/>
    <w:pPr>
      <w:spacing w:before="160"/>
      <w:jc w:val="center"/>
    </w:pPr>
    <w:rPr>
      <w:i/>
      <w:iCs/>
      <w:color w:val="404040" w:themeColor="text1" w:themeTint="BF"/>
    </w:rPr>
  </w:style>
  <w:style w:type="character" w:customStyle="1" w:styleId="QuoteChar">
    <w:name w:val="Quote Char"/>
    <w:basedOn w:val="DefaultParagraphFont"/>
    <w:link w:val="Quote"/>
    <w:uiPriority w:val="29"/>
    <w:rsid w:val="00227BDD"/>
    <w:rPr>
      <w:i/>
      <w:iCs/>
      <w:color w:val="404040" w:themeColor="text1" w:themeTint="BF"/>
    </w:rPr>
  </w:style>
  <w:style w:type="paragraph" w:styleId="ListParagraph">
    <w:name w:val="List Paragraph"/>
    <w:basedOn w:val="Normal"/>
    <w:uiPriority w:val="34"/>
    <w:qFormat/>
    <w:rsid w:val="00227BDD"/>
    <w:pPr>
      <w:ind w:left="720"/>
      <w:contextualSpacing/>
    </w:pPr>
  </w:style>
  <w:style w:type="character" w:styleId="IntenseEmphasis">
    <w:name w:val="Intense Emphasis"/>
    <w:basedOn w:val="DefaultParagraphFont"/>
    <w:uiPriority w:val="21"/>
    <w:qFormat/>
    <w:rsid w:val="00227BDD"/>
    <w:rPr>
      <w:i/>
      <w:iCs/>
      <w:color w:val="0F4761" w:themeColor="accent1" w:themeShade="BF"/>
    </w:rPr>
  </w:style>
  <w:style w:type="paragraph" w:styleId="IntenseQuote">
    <w:name w:val="Intense Quote"/>
    <w:basedOn w:val="Normal"/>
    <w:next w:val="Normal"/>
    <w:link w:val="IntenseQuoteChar"/>
    <w:uiPriority w:val="30"/>
    <w:qFormat/>
    <w:rsid w:val="00227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BDD"/>
    <w:rPr>
      <w:i/>
      <w:iCs/>
      <w:color w:val="0F4761" w:themeColor="accent1" w:themeShade="BF"/>
    </w:rPr>
  </w:style>
  <w:style w:type="character" w:styleId="IntenseReference">
    <w:name w:val="Intense Reference"/>
    <w:basedOn w:val="DefaultParagraphFont"/>
    <w:uiPriority w:val="32"/>
    <w:qFormat/>
    <w:rsid w:val="00227BDD"/>
    <w:rPr>
      <w:b/>
      <w:bCs/>
      <w:smallCaps/>
      <w:color w:val="0F4761" w:themeColor="accent1" w:themeShade="BF"/>
      <w:spacing w:val="5"/>
    </w:rPr>
  </w:style>
  <w:style w:type="paragraph" w:styleId="Header">
    <w:name w:val="header"/>
    <w:basedOn w:val="Normal"/>
    <w:link w:val="HeaderChar"/>
    <w:uiPriority w:val="99"/>
    <w:unhideWhenUsed/>
    <w:rsid w:val="00B71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B0"/>
  </w:style>
  <w:style w:type="paragraph" w:styleId="Footer">
    <w:name w:val="footer"/>
    <w:basedOn w:val="Normal"/>
    <w:link w:val="FooterChar"/>
    <w:uiPriority w:val="99"/>
    <w:unhideWhenUsed/>
    <w:rsid w:val="00B71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B0"/>
  </w:style>
  <w:style w:type="table" w:styleId="TableGrid">
    <w:name w:val="Table Grid"/>
    <w:basedOn w:val="TableNormal"/>
    <w:uiPriority w:val="39"/>
    <w:rsid w:val="00E57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6" ma:contentTypeDescription="Create a new document." ma:contentTypeScope="" ma:versionID="72c98a8486de0e2b8c07d5cd991ac1e9">
  <xsd:schema xmlns:xsd="http://www.w3.org/2001/XMLSchema" xmlns:xs="http://www.w3.org/2001/XMLSchema" xmlns:p="http://schemas.microsoft.com/office/2006/metadata/properties" xmlns:ns3="00b9a49a-bcf0-4b5c-afee-389ca09d6bfe" xmlns:ns4="0e53158d-134c-4910-b847-27b3fa1f8e5f" targetNamespace="http://schemas.microsoft.com/office/2006/metadata/properties" ma:root="true" ma:fieldsID="a81715083b474c1058a7771668a0e1aa" ns3:_="" ns4:_="">
    <xsd:import namespace="00b9a49a-bcf0-4b5c-afee-389ca09d6bfe"/>
    <xsd:import namespace="0e53158d-134c-4910-b847-27b3fa1f8e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53158d-134c-4910-b847-27b3fa1f8e5f" xsi:nil="true"/>
  </documentManagement>
</p:properties>
</file>

<file path=customXml/itemProps1.xml><?xml version="1.0" encoding="utf-8"?>
<ds:datastoreItem xmlns:ds="http://schemas.openxmlformats.org/officeDocument/2006/customXml" ds:itemID="{8D2B586A-B1B6-45F3-9242-BA3982FD46FF}">
  <ds:schemaRefs>
    <ds:schemaRef ds:uri="http://schemas.openxmlformats.org/officeDocument/2006/bibliography"/>
  </ds:schemaRefs>
</ds:datastoreItem>
</file>

<file path=customXml/itemProps2.xml><?xml version="1.0" encoding="utf-8"?>
<ds:datastoreItem xmlns:ds="http://schemas.openxmlformats.org/officeDocument/2006/customXml" ds:itemID="{3BCB9790-4EFE-419B-9A91-736653F61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9a49a-bcf0-4b5c-afee-389ca09d6bfe"/>
    <ds:schemaRef ds:uri="0e53158d-134c-4910-b847-27b3fa1f8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7E929-9D18-45F7-B6A8-57FFFAB35E9F}">
  <ds:schemaRefs>
    <ds:schemaRef ds:uri="http://schemas.microsoft.com/sharepoint/v3/contenttype/forms"/>
  </ds:schemaRefs>
</ds:datastoreItem>
</file>

<file path=customXml/itemProps4.xml><?xml version="1.0" encoding="utf-8"?>
<ds:datastoreItem xmlns:ds="http://schemas.openxmlformats.org/officeDocument/2006/customXml" ds:itemID="{66791B0C-8975-4168-87FA-E3E7EFA074B1}">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00b9a49a-bcf0-4b5c-afee-389ca09d6bfe"/>
    <ds:schemaRef ds:uri="http://www.w3.org/XML/1998/namespace"/>
    <ds:schemaRef ds:uri="0e53158d-134c-4910-b847-27b3fa1f8e5f"/>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Pasquale</dc:creator>
  <cp:keywords/>
  <dc:description/>
  <cp:lastModifiedBy>Dawn Lyons</cp:lastModifiedBy>
  <cp:revision>2</cp:revision>
  <dcterms:created xsi:type="dcterms:W3CDTF">2024-04-09T22:25:00Z</dcterms:created>
  <dcterms:modified xsi:type="dcterms:W3CDTF">2024-04-09T22:25:00Z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