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7C392" w14:textId="77777777" w:rsidR="002C4D3A" w:rsidRDefault="00785DDE">
      <w:pPr>
        <w:pStyle w:val="BodyA"/>
        <w:rPr>
          <w:b/>
          <w:bCs/>
          <w:u w:val="single"/>
        </w:rPr>
      </w:pPr>
      <w:r>
        <w:rPr>
          <w:b/>
          <w:bCs/>
          <w:u w:val="single"/>
        </w:rPr>
        <w:t xml:space="preserve">NRS 284.327 Temporary limited appointment of persons with disabilities; </w:t>
      </w:r>
      <w:proofErr w:type="gramStart"/>
      <w:r>
        <w:rPr>
          <w:b/>
          <w:bCs/>
          <w:u w:val="single"/>
        </w:rPr>
        <w:t xml:space="preserve">limitations;   </w:t>
      </w:r>
      <w:proofErr w:type="gramEnd"/>
      <w:r>
        <w:rPr>
          <w:b/>
          <w:bCs/>
          <w:u w:val="single"/>
        </w:rPr>
        <w:t xml:space="preserve">  regulations (Otherwise known as the 700 Hour Program)</w:t>
      </w:r>
    </w:p>
    <w:p w14:paraId="3606AD9A" w14:textId="77777777" w:rsidR="002C4D3A" w:rsidRDefault="002C4D3A">
      <w:pPr>
        <w:pStyle w:val="BodyA"/>
      </w:pPr>
    </w:p>
    <w:p w14:paraId="393EC68F" w14:textId="77777777" w:rsidR="002C4D3A" w:rsidRDefault="00785DDE">
      <w:pPr>
        <w:pStyle w:val="BodyA"/>
      </w:pPr>
      <w:r>
        <w:rPr>
          <w:b/>
          <w:bCs/>
          <w:u w:val="single"/>
        </w:rPr>
        <w:t>Proposed Amendments:</w:t>
      </w:r>
      <w:r>
        <w:br/>
      </w:r>
      <w:r>
        <w:br/>
      </w:r>
      <w:r>
        <w:t xml:space="preserve">Subsection 1: Delete “if possible” after shall.  Replace “700” with “1,000.”  </w:t>
      </w:r>
      <w:r>
        <w:t>Add at the end, “In no case shall an appointing authority make an appointment pursuant to this chapter for greater than 0.50 full-time equivalency (FTE).”</w:t>
      </w:r>
    </w:p>
    <w:p w14:paraId="38543F15" w14:textId="77777777" w:rsidR="002C4D3A" w:rsidRDefault="002C4D3A">
      <w:pPr>
        <w:pStyle w:val="BodyA"/>
      </w:pPr>
    </w:p>
    <w:p w14:paraId="1304C805" w14:textId="77777777" w:rsidR="002C4D3A" w:rsidRDefault="00785DDE">
      <w:pPr>
        <w:pStyle w:val="BodyA"/>
      </w:pPr>
      <w:r>
        <w:t>Subsection 4: Add “financial or client” before “benefits.”  Clarify that an agency within the same D</w:t>
      </w:r>
      <w:r>
        <w:t>epartment and/or Division may appoint an affected candidate (e.g., other agencies within DETR besides Vocational Rehab, which is part of DETR’s Rehab Division, which also contains the Bureau of Services for Persons Who Are Blind or Visually Impaired and th</w:t>
      </w:r>
      <w:r>
        <w:t>e Bureau of Disability Adjudication).  Define circumstances which would create a “conflict of interest.”</w:t>
      </w:r>
    </w:p>
    <w:p w14:paraId="397A34EB" w14:textId="77777777" w:rsidR="002C4D3A" w:rsidRDefault="00785DDE">
      <w:pPr>
        <w:pStyle w:val="BodyA"/>
      </w:pPr>
      <w:r>
        <w:br/>
      </w:r>
      <w:r>
        <w:t>Subsection 5: Replace “that there is at least one person on the staff…” with “all persons with responsibility for supervision of employees and personn</w:t>
      </w:r>
      <w:r>
        <w:t>el administration.”  Add at the end of subsection b, “including, but not limited to, requests for reasonable accommodations, which would permit the candidate…”</w:t>
      </w:r>
    </w:p>
    <w:p w14:paraId="204CF1B1" w14:textId="77777777" w:rsidR="002C4D3A" w:rsidRDefault="002C4D3A">
      <w:pPr>
        <w:pStyle w:val="BodyA"/>
      </w:pPr>
    </w:p>
    <w:p w14:paraId="42E0D05E" w14:textId="77777777" w:rsidR="002C4D3A" w:rsidRDefault="00785DDE">
      <w:pPr>
        <w:pStyle w:val="BodyA"/>
      </w:pPr>
      <w:r>
        <w:t>Subsection 7:  Remove “permanent.”</w:t>
      </w:r>
    </w:p>
    <w:p w14:paraId="45A68169" w14:textId="77777777" w:rsidR="002C4D3A" w:rsidRDefault="00785DDE">
      <w:pPr>
        <w:pStyle w:val="BodyA"/>
      </w:pPr>
      <w:r>
        <w:br/>
      </w:r>
      <w:r>
        <w:t>Subsection 8: Replace “700” with “1,000.”  Add “If the appo</w:t>
      </w:r>
      <w:r>
        <w:t>inting authority does not intend to retain the candidate, after consultation with the appointing authority’s relevant legal counsel, the appointing authority shall provide a minimum of 60 days’ notice to the candidate” and “if the appointing authority is p</w:t>
      </w:r>
      <w:r>
        <w:t xml:space="preserve">roviding such notice because of an inability of the appointing      authority to provide reasonable accommodations to the candidate, after first having engaged in a good faith interactive process with the candidate, and having evaluated the candidate for  </w:t>
      </w:r>
      <w:r>
        <w:t xml:space="preserve">  reassignment to a vacant position or soon to be vacant position …, the candidate shall be    construed to have separated from service without prejudice, and shall be eligible for          reemployment” at the end.</w:t>
      </w:r>
    </w:p>
    <w:p w14:paraId="1FBF7C21" w14:textId="77777777" w:rsidR="002C4D3A" w:rsidRDefault="002C4D3A">
      <w:pPr>
        <w:pStyle w:val="BodyA"/>
      </w:pPr>
    </w:p>
    <w:p w14:paraId="1009AF72" w14:textId="77777777" w:rsidR="002C4D3A" w:rsidRDefault="00785DDE">
      <w:pPr>
        <w:pStyle w:val="BodyA"/>
      </w:pPr>
      <w:r>
        <w:rPr>
          <w:b/>
          <w:bCs/>
          <w:u w:val="single"/>
        </w:rPr>
        <w:t>What these changes will do:</w:t>
      </w:r>
    </w:p>
    <w:p w14:paraId="5E9C5764" w14:textId="77777777" w:rsidR="002C4D3A" w:rsidRDefault="002C4D3A">
      <w:pPr>
        <w:pStyle w:val="BodyA"/>
      </w:pPr>
    </w:p>
    <w:p w14:paraId="2ED19343" w14:textId="77777777" w:rsidR="002C4D3A" w:rsidRDefault="00785DDE">
      <w:pPr>
        <w:pStyle w:val="BodyA"/>
      </w:pPr>
      <w:r>
        <w:t>Many of th</w:t>
      </w:r>
      <w:r>
        <w:t>ese changes are being brought back, after having been attached to a bill with a     significant fiscal note, SB 202, during the 2019 Session.  These changes, some of which were intended to have been included in the section of bill last Session, seek to imp</w:t>
      </w:r>
      <w:r>
        <w:t>rove outcomes of the program.  As of the last time easily calculable data was provided by the Rehab Division in late May, since the Program was mandated in the 2017 Session, only 58% of candidates      originally appointed through it have achieved permanen</w:t>
      </w:r>
      <w:r>
        <w:t>t employee status, and many of the     position types that candidates were appointed to have subsequently been excluded from      consideration under the Program.</w:t>
      </w:r>
      <w:r>
        <w:br/>
      </w:r>
      <w:r>
        <w:br/>
      </w:r>
      <w:r>
        <w:t>The Legislature should note that the Federal threshold to determine that an employment polic</w:t>
      </w:r>
      <w:r>
        <w:t>y negatively impacts a particular group of candidates or employees is 80%.  In sum, the Program has not fulfilled its legislative intent, whether as originally amended in the 2017 Session, nor as “cleaned up” in the 2019 Session, through the Rehab Division</w:t>
      </w:r>
      <w:r>
        <w:t>’s simultaneously requested bill concerning the same section of statute, SB 50.  In light of the U.S. Supreme Court’s recent      decision which made it Federally illegal to fire an LGBT worker, proposing these changes at the first regular Session opportun</w:t>
      </w:r>
      <w:r>
        <w:t>ity thereafter will not only improve employment outcomes for can</w:t>
      </w:r>
      <w:r>
        <w:lastRenderedPageBreak/>
        <w:t>didates and employees with disabilities, but for employees in all types of Federally            protected classifications.  As noted later in the changes, a plain language review of the chapte</w:t>
      </w:r>
      <w:r>
        <w:t xml:space="preserve">r </w:t>
      </w:r>
      <w:proofErr w:type="gramStart"/>
      <w:r>
        <w:t>as a whole currently</w:t>
      </w:r>
      <w:proofErr w:type="gramEnd"/>
      <w:r>
        <w:t xml:space="preserve"> makes it legal to fire those in certain protected classes, but not others.  When viewed as a whole, the changes will provide quicker remedies to situations that should not even be occurring in the first instance.  As an example, my c</w:t>
      </w:r>
      <w:r>
        <w:t>ase, which I discussed at greater length in written testimony provided last Session, remains pending in Federal Court, almost 2 years after the fact.</w:t>
      </w:r>
      <w:r>
        <w:br/>
      </w:r>
    </w:p>
    <w:p w14:paraId="390B3573" w14:textId="77777777" w:rsidR="002C4D3A" w:rsidRDefault="00785DDE">
      <w:pPr>
        <w:pStyle w:val="BodyA"/>
      </w:pPr>
      <w:r>
        <w:rPr>
          <w:b/>
          <w:bCs/>
          <w:u w:val="single"/>
        </w:rPr>
        <w:t>NRS 284.215 Examination of persons with disabilities</w:t>
      </w:r>
    </w:p>
    <w:p w14:paraId="7E0E5AE2" w14:textId="77777777" w:rsidR="002C4D3A" w:rsidRDefault="002C4D3A">
      <w:pPr>
        <w:pStyle w:val="BodyA"/>
      </w:pPr>
    </w:p>
    <w:p w14:paraId="07C195B4" w14:textId="77777777" w:rsidR="002C4D3A" w:rsidRDefault="00785DDE">
      <w:pPr>
        <w:pStyle w:val="BodyA"/>
      </w:pPr>
      <w:r>
        <w:rPr>
          <w:b/>
          <w:bCs/>
          <w:u w:val="single"/>
        </w:rPr>
        <w:t>Proposed Amendments:</w:t>
      </w:r>
    </w:p>
    <w:p w14:paraId="2898C8C6" w14:textId="77777777" w:rsidR="002C4D3A" w:rsidRDefault="002C4D3A">
      <w:pPr>
        <w:pStyle w:val="BodyA"/>
      </w:pPr>
    </w:p>
    <w:p w14:paraId="085B181E" w14:textId="77777777" w:rsidR="002C4D3A" w:rsidRDefault="00785DDE">
      <w:pPr>
        <w:pStyle w:val="BodyA"/>
      </w:pPr>
      <w:r>
        <w:t>Replace “notwithstanding…” wi</w:t>
      </w:r>
      <w:r>
        <w:t>th “with or without reasonable accommodations.”</w:t>
      </w:r>
      <w:r>
        <w:br/>
      </w:r>
      <w:r>
        <w:br/>
        <w:t>Add new subsection at the end, “At such time as the Division may resume the examination    requirement, the Division shall promulgate regulations for the purposes of a candidate           requesting reasonab</w:t>
      </w:r>
      <w:r>
        <w:t>le accommodations for an examination.”</w:t>
      </w:r>
    </w:p>
    <w:p w14:paraId="29B8F59D" w14:textId="77777777" w:rsidR="002C4D3A" w:rsidRDefault="002C4D3A">
      <w:pPr>
        <w:pStyle w:val="BodyA"/>
      </w:pPr>
    </w:p>
    <w:p w14:paraId="37B36326" w14:textId="77777777" w:rsidR="002C4D3A" w:rsidRDefault="00785DDE">
      <w:pPr>
        <w:pStyle w:val="BodyA"/>
      </w:pPr>
      <w:r>
        <w:rPr>
          <w:b/>
          <w:bCs/>
          <w:u w:val="single"/>
        </w:rPr>
        <w:t>What these changes will do:</w:t>
      </w:r>
    </w:p>
    <w:p w14:paraId="77EF7DD8" w14:textId="77777777" w:rsidR="002C4D3A" w:rsidRDefault="002C4D3A">
      <w:pPr>
        <w:pStyle w:val="BodyA"/>
      </w:pPr>
    </w:p>
    <w:p w14:paraId="39BBCDE4" w14:textId="77777777" w:rsidR="002C4D3A" w:rsidRDefault="00785DDE">
      <w:pPr>
        <w:pStyle w:val="BodyA"/>
      </w:pPr>
      <w:r>
        <w:t xml:space="preserve">These changes will standardize language used in other sections of the chapter, </w:t>
      </w:r>
      <w:proofErr w:type="gramStart"/>
      <w:r>
        <w:t>and also</w:t>
      </w:r>
      <w:proofErr w:type="gramEnd"/>
      <w:r>
        <w:t xml:space="preserve">      provide a process to fully include employment candidates with disabilities in pre-employment  </w:t>
      </w:r>
      <w:r>
        <w:t xml:space="preserve">      activities.</w:t>
      </w:r>
    </w:p>
    <w:p w14:paraId="74D67892" w14:textId="77777777" w:rsidR="002C4D3A" w:rsidRDefault="002C4D3A">
      <w:pPr>
        <w:pStyle w:val="BodyA"/>
      </w:pPr>
    </w:p>
    <w:p w14:paraId="62DC6396" w14:textId="77777777" w:rsidR="002C4D3A" w:rsidRDefault="00785DDE">
      <w:pPr>
        <w:pStyle w:val="BodyA"/>
      </w:pPr>
      <w:r>
        <w:rPr>
          <w:b/>
          <w:bCs/>
          <w:u w:val="single"/>
        </w:rPr>
        <w:t>NRS 284.290 Probationary period: Length; dismissal or demotion; notification by              appointing authority regarding permanent status</w:t>
      </w:r>
    </w:p>
    <w:p w14:paraId="3BE556B9" w14:textId="77777777" w:rsidR="002C4D3A" w:rsidRDefault="002C4D3A">
      <w:pPr>
        <w:pStyle w:val="BodyA"/>
      </w:pPr>
    </w:p>
    <w:p w14:paraId="683CB9E4" w14:textId="77777777" w:rsidR="002C4D3A" w:rsidRDefault="00785DDE">
      <w:pPr>
        <w:pStyle w:val="BodyA"/>
      </w:pPr>
      <w:r>
        <w:rPr>
          <w:b/>
          <w:bCs/>
          <w:u w:val="single"/>
        </w:rPr>
        <w:t>Proposed Amendments:</w:t>
      </w:r>
    </w:p>
    <w:p w14:paraId="7CB452FD" w14:textId="77777777" w:rsidR="002C4D3A" w:rsidRDefault="002C4D3A">
      <w:pPr>
        <w:pStyle w:val="BodyA"/>
      </w:pPr>
    </w:p>
    <w:p w14:paraId="2CE0BB15" w14:textId="77777777" w:rsidR="002C4D3A" w:rsidRDefault="00785DDE">
      <w:pPr>
        <w:pStyle w:val="BodyA"/>
      </w:pPr>
      <w:r>
        <w:t>Subsection 2: Add “and which are not related to a candidate’s Federally p</w:t>
      </w:r>
      <w:r>
        <w:t xml:space="preserve">rotected status (e.g., disability, race, gender, sexual orientation, </w:t>
      </w:r>
      <w:proofErr w:type="gramStart"/>
      <w:r>
        <w:t>etc.</w:t>
      </w:r>
      <w:proofErr w:type="gramEnd"/>
      <w:r>
        <w:t>)” at the end.</w:t>
      </w:r>
    </w:p>
    <w:p w14:paraId="4475E22E" w14:textId="77777777" w:rsidR="002C4D3A" w:rsidRDefault="002C4D3A">
      <w:pPr>
        <w:pStyle w:val="BodyA"/>
      </w:pPr>
    </w:p>
    <w:p w14:paraId="7972D879" w14:textId="77777777" w:rsidR="002C4D3A" w:rsidRDefault="00785DDE">
      <w:pPr>
        <w:pStyle w:val="BodyA"/>
      </w:pPr>
      <w:r>
        <w:rPr>
          <w:b/>
          <w:bCs/>
          <w:u w:val="single"/>
        </w:rPr>
        <w:t>NRS 284.330 Reinstatement of permanent appointee after separation without prejudice</w:t>
      </w:r>
    </w:p>
    <w:p w14:paraId="45E78B06" w14:textId="77777777" w:rsidR="002C4D3A" w:rsidRDefault="002C4D3A">
      <w:pPr>
        <w:pStyle w:val="BodyA"/>
      </w:pPr>
    </w:p>
    <w:p w14:paraId="5ECD42C3" w14:textId="77777777" w:rsidR="002C4D3A" w:rsidRDefault="00785DDE">
      <w:pPr>
        <w:pStyle w:val="BodyA"/>
      </w:pPr>
      <w:r>
        <w:rPr>
          <w:b/>
          <w:bCs/>
          <w:u w:val="single"/>
        </w:rPr>
        <w:t>Proposed Amendment:</w:t>
      </w:r>
    </w:p>
    <w:p w14:paraId="03872E07" w14:textId="77777777" w:rsidR="002C4D3A" w:rsidRDefault="002C4D3A">
      <w:pPr>
        <w:pStyle w:val="BodyA"/>
      </w:pPr>
    </w:p>
    <w:p w14:paraId="73FD6754" w14:textId="77777777" w:rsidR="002C4D3A" w:rsidRDefault="00785DDE">
      <w:pPr>
        <w:pStyle w:val="BodyA"/>
        <w:rPr>
          <w:b/>
          <w:bCs/>
        </w:rPr>
      </w:pPr>
      <w:r>
        <w:t>Remove “permanent.”</w:t>
      </w:r>
    </w:p>
    <w:p w14:paraId="5B7208D6" w14:textId="77777777" w:rsidR="002C4D3A" w:rsidRDefault="002C4D3A">
      <w:pPr>
        <w:pStyle w:val="BodyA"/>
      </w:pPr>
    </w:p>
    <w:p w14:paraId="40C9D561" w14:textId="77777777" w:rsidR="002C4D3A" w:rsidRDefault="00785DDE">
      <w:pPr>
        <w:pStyle w:val="BodyA"/>
      </w:pPr>
      <w:r>
        <w:rPr>
          <w:b/>
          <w:bCs/>
          <w:u w:val="single"/>
        </w:rPr>
        <w:t xml:space="preserve">NRS 284.376 Involuntary </w:t>
      </w:r>
      <w:r>
        <w:rPr>
          <w:b/>
          <w:bCs/>
          <w:u w:val="single"/>
        </w:rPr>
        <w:t>transfer; hearing; remedies</w:t>
      </w:r>
    </w:p>
    <w:p w14:paraId="1A0BC9B3" w14:textId="77777777" w:rsidR="002C4D3A" w:rsidRDefault="002C4D3A">
      <w:pPr>
        <w:pStyle w:val="BodyA"/>
      </w:pPr>
    </w:p>
    <w:p w14:paraId="51459B3D" w14:textId="77777777" w:rsidR="002C4D3A" w:rsidRDefault="00785DDE">
      <w:pPr>
        <w:pStyle w:val="BodyA"/>
      </w:pPr>
      <w:r>
        <w:rPr>
          <w:b/>
          <w:bCs/>
          <w:u w:val="single"/>
        </w:rPr>
        <w:t>Proposed Amendments:</w:t>
      </w:r>
    </w:p>
    <w:p w14:paraId="76614A60" w14:textId="77777777" w:rsidR="002C4D3A" w:rsidRDefault="002C4D3A">
      <w:pPr>
        <w:pStyle w:val="BodyA"/>
      </w:pPr>
    </w:p>
    <w:p w14:paraId="0D6F2F34" w14:textId="77777777" w:rsidR="002C4D3A" w:rsidRDefault="00785DDE">
      <w:pPr>
        <w:pStyle w:val="BodyA"/>
        <w:rPr>
          <w:b/>
          <w:bCs/>
        </w:rPr>
      </w:pPr>
      <w:r>
        <w:t>See amendments requested to NRS 284.390, and either duplicate or consolidate</w:t>
      </w:r>
    </w:p>
    <w:p w14:paraId="7D7287C6" w14:textId="77777777" w:rsidR="002C4D3A" w:rsidRDefault="002C4D3A">
      <w:pPr>
        <w:pStyle w:val="BodyA"/>
      </w:pPr>
    </w:p>
    <w:p w14:paraId="2DCFA560" w14:textId="77777777" w:rsidR="002C4D3A" w:rsidRDefault="00785DDE">
      <w:pPr>
        <w:pStyle w:val="BodyA"/>
      </w:pPr>
      <w:r>
        <w:rPr>
          <w:b/>
          <w:bCs/>
          <w:u w:val="single"/>
        </w:rPr>
        <w:t xml:space="preserve">NRS 284.385 Dismissals, </w:t>
      </w:r>
      <w:proofErr w:type="gramStart"/>
      <w:r>
        <w:rPr>
          <w:b/>
          <w:bCs/>
          <w:u w:val="single"/>
        </w:rPr>
        <w:t>demotions</w:t>
      </w:r>
      <w:proofErr w:type="gramEnd"/>
      <w:r>
        <w:rPr>
          <w:b/>
          <w:bCs/>
          <w:u w:val="single"/>
        </w:rPr>
        <w:t xml:space="preserve"> and suspensions; regulations</w:t>
      </w:r>
    </w:p>
    <w:p w14:paraId="120823D4" w14:textId="77777777" w:rsidR="002C4D3A" w:rsidRDefault="002C4D3A">
      <w:pPr>
        <w:pStyle w:val="BodyA"/>
      </w:pPr>
    </w:p>
    <w:p w14:paraId="5D532839" w14:textId="77777777" w:rsidR="002C4D3A" w:rsidRDefault="00785DDE">
      <w:pPr>
        <w:pStyle w:val="BodyA"/>
      </w:pPr>
      <w:r>
        <w:rPr>
          <w:b/>
          <w:bCs/>
          <w:u w:val="single"/>
        </w:rPr>
        <w:t>Proposed Amendments:</w:t>
      </w:r>
    </w:p>
    <w:p w14:paraId="5A3AF2FD" w14:textId="77777777" w:rsidR="002C4D3A" w:rsidRDefault="002C4D3A">
      <w:pPr>
        <w:pStyle w:val="BodyA"/>
      </w:pPr>
    </w:p>
    <w:p w14:paraId="2288BD69" w14:textId="77777777" w:rsidR="002C4D3A" w:rsidRDefault="00785DDE">
      <w:pPr>
        <w:pStyle w:val="BodyA"/>
      </w:pPr>
      <w:r>
        <w:t>Subsection 1: Remove “permanent.”</w:t>
      </w:r>
      <w:r>
        <w:br/>
      </w:r>
      <w:r>
        <w:br/>
        <w:t>Subsec</w:t>
      </w:r>
      <w:r>
        <w:t>tion 2: Remove “permanent.”</w:t>
      </w:r>
    </w:p>
    <w:p w14:paraId="72D73564" w14:textId="77777777" w:rsidR="002C4D3A" w:rsidRDefault="002C4D3A">
      <w:pPr>
        <w:pStyle w:val="BodyA"/>
      </w:pPr>
    </w:p>
    <w:p w14:paraId="45282BC6" w14:textId="77777777" w:rsidR="002C4D3A" w:rsidRDefault="00785DDE">
      <w:pPr>
        <w:pStyle w:val="BodyA"/>
      </w:pPr>
      <w:r>
        <w:t>Subsection 4: Add all remaining Federally protected status types (as the concept was            previously defined within the NRS 284.290 amendment request) at the end.</w:t>
      </w:r>
    </w:p>
    <w:p w14:paraId="31241AE1" w14:textId="77777777" w:rsidR="002C4D3A" w:rsidRDefault="002C4D3A">
      <w:pPr>
        <w:pStyle w:val="BodyA"/>
      </w:pPr>
    </w:p>
    <w:p w14:paraId="5127FC4F" w14:textId="77777777" w:rsidR="002C4D3A" w:rsidRDefault="002C4D3A">
      <w:pPr>
        <w:pStyle w:val="BodyA"/>
      </w:pPr>
    </w:p>
    <w:p w14:paraId="060742FC" w14:textId="77777777" w:rsidR="002C4D3A" w:rsidRDefault="002C4D3A">
      <w:pPr>
        <w:pStyle w:val="BodyA"/>
      </w:pPr>
    </w:p>
    <w:p w14:paraId="5FA180AE" w14:textId="77777777" w:rsidR="002C4D3A" w:rsidRDefault="002C4D3A">
      <w:pPr>
        <w:pStyle w:val="BodyA"/>
      </w:pPr>
    </w:p>
    <w:p w14:paraId="51D289D2" w14:textId="77777777" w:rsidR="002C4D3A" w:rsidRDefault="002C4D3A">
      <w:pPr>
        <w:pStyle w:val="BodyA"/>
      </w:pPr>
    </w:p>
    <w:p w14:paraId="14FE2BBC" w14:textId="77777777" w:rsidR="002C4D3A" w:rsidRDefault="00785DDE">
      <w:pPr>
        <w:pStyle w:val="BodyA"/>
      </w:pPr>
      <w:r>
        <w:rPr>
          <w:b/>
          <w:bCs/>
          <w:u w:val="single"/>
        </w:rPr>
        <w:t>NRS 284.390 Hearing to determine reasonableness of di</w:t>
      </w:r>
      <w:r>
        <w:rPr>
          <w:b/>
          <w:bCs/>
          <w:u w:val="single"/>
        </w:rPr>
        <w:t xml:space="preserve">smissal, demotion, or             suspension; production of documents; representation; evidence; written </w:t>
      </w:r>
      <w:proofErr w:type="gramStart"/>
      <w:r>
        <w:rPr>
          <w:b/>
          <w:bCs/>
          <w:u w:val="single"/>
        </w:rPr>
        <w:t xml:space="preserve">decision;   </w:t>
      </w:r>
      <w:proofErr w:type="gramEnd"/>
      <w:r>
        <w:rPr>
          <w:b/>
          <w:bCs/>
          <w:u w:val="single"/>
        </w:rPr>
        <w:t xml:space="preserve">      reinstatement; judicial review</w:t>
      </w:r>
    </w:p>
    <w:p w14:paraId="75E09B18" w14:textId="77777777" w:rsidR="002C4D3A" w:rsidRDefault="002C4D3A">
      <w:pPr>
        <w:pStyle w:val="BodyA"/>
      </w:pPr>
    </w:p>
    <w:p w14:paraId="44AAD2B7" w14:textId="77777777" w:rsidR="002C4D3A" w:rsidRDefault="00785DDE">
      <w:pPr>
        <w:pStyle w:val="BodyA"/>
      </w:pPr>
      <w:r>
        <w:rPr>
          <w:b/>
          <w:bCs/>
          <w:u w:val="single"/>
        </w:rPr>
        <w:t>Proposed Amendment:</w:t>
      </w:r>
    </w:p>
    <w:p w14:paraId="68629F01" w14:textId="77777777" w:rsidR="002C4D3A" w:rsidRDefault="002C4D3A">
      <w:pPr>
        <w:pStyle w:val="BodyA"/>
      </w:pPr>
    </w:p>
    <w:p w14:paraId="2A7AD21D" w14:textId="77777777" w:rsidR="002C4D3A" w:rsidRDefault="00785DDE">
      <w:pPr>
        <w:pStyle w:val="BodyA"/>
      </w:pPr>
      <w:r>
        <w:t>Subsection 8: Add “except in cases related to Federally protected statuses” at t</w:t>
      </w:r>
      <w:r>
        <w:t xml:space="preserve">he end. </w:t>
      </w:r>
    </w:p>
    <w:p w14:paraId="44DB79D4" w14:textId="77777777" w:rsidR="002C4D3A" w:rsidRDefault="002C4D3A">
      <w:pPr>
        <w:pStyle w:val="BodyA"/>
      </w:pPr>
    </w:p>
    <w:p w14:paraId="32DD84F2" w14:textId="77777777" w:rsidR="002C4D3A" w:rsidRDefault="00785DDE">
      <w:pPr>
        <w:pStyle w:val="BodyA"/>
      </w:pPr>
      <w:r>
        <w:t xml:space="preserve">Subsection 9: Remove “judicial.”  Replace “30” with “90.”  Add “or with the Equal Employment Opportunity Commission (EEOC) or Nevada Equal Rights Commission (NERC) in cases related to Federally protected status” and “For purposes of </w:t>
      </w:r>
      <w:r>
        <w:t>determining timeliness of an EEOC or NERC filing, the time spent resolving a hearing request shall toll the requirement until receipt of the hearing officer’s decision” at the end.</w:t>
      </w:r>
    </w:p>
    <w:p w14:paraId="774203F7" w14:textId="77777777" w:rsidR="002C4D3A" w:rsidRDefault="002C4D3A">
      <w:pPr>
        <w:pStyle w:val="BodyA"/>
      </w:pPr>
    </w:p>
    <w:p w14:paraId="3A9F0295" w14:textId="77777777" w:rsidR="002C4D3A" w:rsidRDefault="00785DDE">
      <w:pPr>
        <w:pStyle w:val="BodyA"/>
      </w:pPr>
      <w:r>
        <w:rPr>
          <w:b/>
          <w:bCs/>
          <w:u w:val="single"/>
        </w:rPr>
        <w:t>What these changes will do:</w:t>
      </w:r>
    </w:p>
    <w:p w14:paraId="0132DEAE" w14:textId="77777777" w:rsidR="002C4D3A" w:rsidRDefault="002C4D3A">
      <w:pPr>
        <w:pStyle w:val="BodyA"/>
      </w:pPr>
    </w:p>
    <w:p w14:paraId="179576CE" w14:textId="77777777" w:rsidR="002C4D3A" w:rsidRDefault="00785DDE">
      <w:pPr>
        <w:pStyle w:val="BodyA"/>
        <w:rPr>
          <w:b/>
          <w:bCs/>
        </w:rPr>
      </w:pPr>
      <w:r>
        <w:t>This group of changes (those to subsections 2</w:t>
      </w:r>
      <w:r>
        <w:t>90 through 390) will create identical sets of rules for both probationary and permanent employees, provide appropriate remedy carve-outs for cases involving Federally protected statuses, standardize the timing requirements to match Federal law, and suspend</w:t>
      </w:r>
      <w:r>
        <w:t xml:space="preserve"> the timely filing requirements while other administrative remedies are pending.</w:t>
      </w:r>
    </w:p>
    <w:p w14:paraId="5BFB7C26" w14:textId="77777777" w:rsidR="002C4D3A" w:rsidRDefault="002C4D3A">
      <w:pPr>
        <w:pStyle w:val="BodyA"/>
      </w:pPr>
    </w:p>
    <w:p w14:paraId="59D6B5CD" w14:textId="77777777" w:rsidR="002C4D3A" w:rsidRDefault="00785DDE">
      <w:pPr>
        <w:pStyle w:val="BodyA"/>
      </w:pPr>
      <w:r>
        <w:rPr>
          <w:b/>
          <w:bCs/>
          <w:u w:val="single"/>
        </w:rPr>
        <w:t>NRS 233B.039 Applicability</w:t>
      </w:r>
    </w:p>
    <w:p w14:paraId="1D096286" w14:textId="77777777" w:rsidR="002C4D3A" w:rsidRDefault="002C4D3A">
      <w:pPr>
        <w:pStyle w:val="BodyA"/>
      </w:pPr>
    </w:p>
    <w:p w14:paraId="0C157B7C" w14:textId="77777777" w:rsidR="002C4D3A" w:rsidRDefault="00785DDE">
      <w:pPr>
        <w:pStyle w:val="BodyA"/>
      </w:pPr>
      <w:r>
        <w:t>Add a new subsection at the end, “In no case shall any agency of the Executive Department of State Government outlined in this chapter be exempt w</w:t>
      </w:r>
      <w:r>
        <w:t>hen the issue in controversy is an       individual’s Federally protected status.”</w:t>
      </w:r>
    </w:p>
    <w:p w14:paraId="2F2EFE7E" w14:textId="77777777" w:rsidR="002C4D3A" w:rsidRDefault="002C4D3A">
      <w:pPr>
        <w:pStyle w:val="BodyA"/>
      </w:pPr>
    </w:p>
    <w:p w14:paraId="38E5F553" w14:textId="77777777" w:rsidR="002C4D3A" w:rsidRDefault="00785DDE">
      <w:pPr>
        <w:pStyle w:val="BodyA"/>
      </w:pPr>
      <w:r>
        <w:rPr>
          <w:b/>
          <w:bCs/>
          <w:u w:val="single"/>
        </w:rPr>
        <w:t>What this change will do:</w:t>
      </w:r>
    </w:p>
    <w:p w14:paraId="69014AEA" w14:textId="77777777" w:rsidR="002C4D3A" w:rsidRDefault="002C4D3A">
      <w:pPr>
        <w:pStyle w:val="BodyA"/>
      </w:pPr>
    </w:p>
    <w:p w14:paraId="71A3E412" w14:textId="77777777" w:rsidR="002C4D3A" w:rsidRDefault="00785DDE">
      <w:pPr>
        <w:pStyle w:val="BodyA"/>
      </w:pPr>
      <w:r>
        <w:t>This change will create a liability carve-out for review of cases which involve Federally          protected statuses.</w:t>
      </w:r>
    </w:p>
    <w:sectPr w:rsidR="002C4D3A">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2FAE5" w14:textId="77777777" w:rsidR="00000000" w:rsidRDefault="00785DDE">
      <w:r>
        <w:separator/>
      </w:r>
    </w:p>
  </w:endnote>
  <w:endnote w:type="continuationSeparator" w:id="0">
    <w:p w14:paraId="4B12585E" w14:textId="77777777" w:rsidR="00000000" w:rsidRDefault="00785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DF212" w14:textId="77777777" w:rsidR="002C4D3A" w:rsidRDefault="002C4D3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718A6A" w14:textId="77777777" w:rsidR="00000000" w:rsidRDefault="00785DDE">
      <w:r>
        <w:separator/>
      </w:r>
    </w:p>
  </w:footnote>
  <w:footnote w:type="continuationSeparator" w:id="0">
    <w:p w14:paraId="07ADE2B3" w14:textId="77777777" w:rsidR="00000000" w:rsidRDefault="00785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6CE03" w14:textId="77777777" w:rsidR="002C4D3A" w:rsidRDefault="002C4D3A">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revisionView w:formatting="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D3A"/>
    <w:rsid w:val="002C4D3A"/>
    <w:rsid w:val="00785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0B68D"/>
  <w15:docId w15:val="{52E48805-FC08-4314-8CA7-C06B7593E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0" ma:contentTypeDescription="Create a new document." ma:contentTypeScope="" ma:versionID="edf6dc3f3646ff0a4d1533c22764a796">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553f8e20bc0f8a19703aec124a213df3"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105B2C-56DA-40F9-978D-5D1CCB9E1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9CBD96-0F68-4169-8B8F-9AC9D87314FE}">
  <ds:schemaRefs>
    <ds:schemaRef ds:uri="http://schemas.microsoft.com/sharepoint/v3/contenttype/forms"/>
  </ds:schemaRefs>
</ds:datastoreItem>
</file>

<file path=customXml/itemProps3.xml><?xml version="1.0" encoding="utf-8"?>
<ds:datastoreItem xmlns:ds="http://schemas.openxmlformats.org/officeDocument/2006/customXml" ds:itemID="{B8A8A1EF-63B9-4D91-B363-A65B2035167E}">
  <ds:schemaRefs>
    <ds:schemaRef ds:uri="0e53158d-134c-4910-b847-27b3fa1f8e5f"/>
    <ds:schemaRef ds:uri="00b9a49a-bcf0-4b5c-afee-389ca09d6bf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1284</Words>
  <Characters>5817</Characters>
  <Application>Microsoft Office Word</Application>
  <DocSecurity>4</DocSecurity>
  <Lines>149</Lines>
  <Paragraphs>67</Paragraphs>
  <ScaleCrop>false</ScaleCrop>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Wendy Thornley</cp:lastModifiedBy>
  <cp:revision>2</cp:revision>
  <dcterms:created xsi:type="dcterms:W3CDTF">2020-10-23T19:48:00Z</dcterms:created>
  <dcterms:modified xsi:type="dcterms:W3CDTF">2020-10-23T19:48:00Z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0x0101001A0CDFA670B8EC4383202BD4C8E38F47</vt:lpwstr>
  </property>
</Properties>
</file>